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4322C" w:sz="14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6A3F73"/>
                <w:spacing w:val="8"/>
                <w:sz w:val="15"/>
                <w:szCs w:val="15"/>
              </w:rPr>
              <w:t xml:space="preserve">FINANCIAL &amp; RISK ADVISORY CONSULTANT</w:t>
            </w:r>
          </w:p>
          <w:p>
            <w:r>
              <w:rPr>
                <w:rFonts w:ascii="Georgia" w:cs="Georgia" w:eastAsia="Georgia" w:hAnsi="Georgia"/>
                <w:b/>
                <w:bCs/>
                <w:color w:val="241634"/>
                <w:sz w:val="57"/>
                <w:szCs w:val="57"/>
              </w:rPr>
              <w:t xml:space="preserve">Marcus Feld, CPA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69716D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69716D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yl-caoncpw_jdxcih_e1">
              <w:r>
                <w:rPr>
                  <w:rFonts w:ascii="Calibri" w:cs="Calibri" w:eastAsia="Calibri" w:hAnsi="Calibri"/>
                  <w:color w:val="69716D"/>
                  <w:sz w:val="17"/>
                  <w:szCs w:val="17"/>
                </w:rPr>
                <w:t xml:space="preserve">marcus.feld@email.com</w:t>
              </w:r>
            </w:hyperlink>
            <w:r>
              <w:rPr>
                <w:rFonts w:ascii="Calibri" w:cs="Calibri" w:eastAsia="Calibri" w:hAnsi="Calibri"/>
                <w:color w:val="69716D"/>
                <w:sz w:val="17"/>
                <w:szCs w:val="17"/>
              </w:rPr>
              <w:br/>
              <w:t xml:space="preserve">in/marcusfeld</w:t>
            </w:r>
          </w:p>
        </w:tc>
      </w:tr>
    </w:tbl>
    <w:p>
      <w:pPr>
        <w:spacing w:after="190" w:before="200"/>
      </w:pPr>
      <w:r>
        <w:rPr>
          <w:rFonts w:ascii="Calibri" w:cs="Calibri" w:eastAsia="Calibri" w:hAnsi="Calibri"/>
          <w:color w:val="33403B"/>
          <w:sz w:val="20"/>
          <w:szCs w:val="20"/>
        </w:rPr>
        <w:t xml:space="preserve">Financial advisory consultant who quantifies risk and protects value. Twelve years advising clients on enterprise risk, internal controls, and regulatory compliance — identifying exposure, prioritizing it, and building the controls that hold up to auditors and regulators alike.</w:t>
      </w: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100"/>
        <w:gridCol w:w="460"/>
        <w:gridCol w:w="7280"/>
      </w:tblGrid>
      <w:tr>
        <w:tc>
          <w:tcPr>
            <w:tcW w:type="dxa" w:w="310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6A3F73"/>
                <w:spacing w:val="8"/>
                <w:sz w:val="15"/>
                <w:szCs w:val="15"/>
              </w:rPr>
              <w:t xml:space="preserve">RISK ASSESSMENT LENS</w:t>
            </w:r>
          </w:p>
          <w:tbl>
            <w:tblPr>
              <w:tblW w:type="dxa" w:w="3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30"/>
              <w:gridCol w:w="60"/>
              <w:gridCol w:w="730"/>
              <w:gridCol w:w="60"/>
              <w:gridCol w:w="730"/>
              <w:gridCol w:w="60"/>
              <w:gridCol w:w="730"/>
            </w:tblGrid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0863F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CF5238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B23226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9FC46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0863F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CF5238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14"/>
                      <w:szCs w:val="14"/>
                    </w:rPr>
                    <w:t xml:space="preserve">●</w:t>
                  </w:r>
                </w:p>
              </w:tc>
            </w:tr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7FB45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9FC46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rFonts w:ascii="Calibri" w:cs="Calibri" w:eastAsia="Calibri" w:hAnsi="Calibri"/>
                      <w:color w:val="7A5A10"/>
                      <w:sz w:val="14"/>
                      <w:szCs w:val="14"/>
                    </w:rPr>
                    <w:t xml:space="preserve">●</w:t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0863F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5FA34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7FB45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9FC46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before="7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7D8A85"/>
                <w:spacing w:val="6"/>
                <w:sz w:val="12"/>
                <w:szCs w:val="12"/>
              </w:rPr>
              <w:t xml:space="preserve">LIKELIHOOD →</w:t>
            </w:r>
          </w:p>
        </w:tc>
        <w:tc>
          <w:tcPr>
            <w:tcW w:type="dxa" w:w="46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7280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7280"/>
              <w:tblBorders>
                <w:top w:val="single" w:color="D7E4DF" w:sz="4"/>
                <w:left w:val="single" w:color="D7E4DF" w:sz="4"/>
                <w:bottom w:val="single" w:color="D7E4DF" w:sz="4"/>
                <w:right w:val="single" w:color="D7E4DF" w:sz="4"/>
                <w:insideH w:val="none"/>
                <w:insideV w:val="none"/>
              </w:tblBorders>
              <w:tblLayout w:type="fixed"/>
            </w:tblPr>
            <w:tblGrid>
              <w:gridCol w:w="7280"/>
            </w:tblGrid>
            <w:tr>
              <w:tc>
                <w:tcPr>
                  <w:tcW w:type="dxa" w:w="72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40"/>
                    <w:left w:type="dxa" w:w="200"/>
                    <w:bottom w:type="dxa" w:w="140"/>
                    <w:right w:type="dxa" w:w="16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6A3F73"/>
                      <w:sz w:val="29"/>
                      <w:szCs w:val="29"/>
                    </w:rPr>
                    <w:t xml:space="preserve">$2.5B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8A85"/>
                      <w:spacing w:val="4"/>
                      <w:sz w:val="13"/>
                      <w:szCs w:val="13"/>
                    </w:rPr>
                    <w:t xml:space="preserve">ASSETS UNDER REVIEW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7280"/>
              <w:tblBorders>
                <w:top w:val="single" w:color="D7E4DF" w:sz="4"/>
                <w:left w:val="single" w:color="D7E4DF" w:sz="4"/>
                <w:bottom w:val="single" w:color="D7E4DF" w:sz="4"/>
                <w:right w:val="single" w:color="D7E4DF" w:sz="4"/>
                <w:insideH w:val="none"/>
                <w:insideV w:val="none"/>
              </w:tblBorders>
              <w:tblLayout w:type="fixed"/>
            </w:tblPr>
            <w:tblGrid>
              <w:gridCol w:w="7280"/>
            </w:tblGrid>
            <w:tr>
              <w:tc>
                <w:tcPr>
                  <w:tcW w:type="dxa" w:w="72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40"/>
                    <w:left w:type="dxa" w:w="200"/>
                    <w:bottom w:type="dxa" w:w="140"/>
                    <w:right w:type="dxa" w:w="16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6A3F73"/>
                      <w:sz w:val="29"/>
                      <w:szCs w:val="29"/>
                    </w:rPr>
                    <w:t xml:space="preserve">60+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8A85"/>
                      <w:spacing w:val="4"/>
                      <w:sz w:val="13"/>
                      <w:szCs w:val="13"/>
                    </w:rPr>
                    <w:t xml:space="preserve">AUDIT &amp; RISK ENGAGEMENTS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7280"/>
              <w:tblBorders>
                <w:top w:val="single" w:color="D7E4DF" w:sz="4"/>
                <w:left w:val="single" w:color="D7E4DF" w:sz="4"/>
                <w:bottom w:val="single" w:color="D7E4DF" w:sz="4"/>
                <w:right w:val="single" w:color="D7E4DF" w:sz="4"/>
                <w:insideH w:val="none"/>
                <w:insideV w:val="none"/>
              </w:tblBorders>
              <w:tblLayout w:type="fixed"/>
            </w:tblPr>
            <w:tblGrid>
              <w:gridCol w:w="7280"/>
            </w:tblGrid>
            <w:tr>
              <w:tc>
                <w:tcPr>
                  <w:tcW w:type="dxa" w:w="72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40"/>
                    <w:left w:type="dxa" w:w="200"/>
                    <w:bottom w:type="dxa" w:w="140"/>
                    <w:right w:type="dxa" w:w="16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6A3F73"/>
                      <w:sz w:val="29"/>
                      <w:szCs w:val="29"/>
                    </w:rPr>
                    <w:t xml:space="preserve">Zero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8A85"/>
                      <w:spacing w:val="4"/>
                      <w:sz w:val="13"/>
                      <w:szCs w:val="13"/>
                    </w:rPr>
                    <w:t xml:space="preserve">MATERIAL FINDINGS MISSED</w:t>
                  </w:r>
                </w:p>
              </w:tc>
            </w:tr>
          </w:tbl>
          <w:p>
            <w:pPr>
              <w:spacing w:after="0"/>
            </w:pPr>
          </w:p>
        </w:tc>
      </w:tr>
    </w:tbl>
    <w:p>
      <w:pPr>
        <w:spacing w:after="190"/>
      </w:pPr>
    </w:p>
    <w:p>
      <w:pPr>
        <w:pBdr>
          <w:bottom w:val="single" w:color="6A3F73" w:sz="16"/>
        </w:pBdr>
        <w:spacing w:after="120" w:before="0"/>
      </w:pPr>
      <w:r>
        <w:rPr>
          <w:rFonts w:ascii="Georgia" w:cs="Georgia" w:eastAsia="Georgia" w:hAnsi="Georgia"/>
          <w:b/>
          <w:bCs/>
          <w:color w:val="241634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34"/>
                <w:sz w:val="20"/>
                <w:szCs w:val="20"/>
              </w:rPr>
              <w:t xml:space="preserve">Risk Advisory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9B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6A3F73"/>
          <w:sz w:val="18"/>
          <w:szCs w:val="18"/>
        </w:rPr>
        <w:t xml:space="preserve">KPMG — Chicago, IL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Lead enterprise risk and internal-controls engagements for banking and insurance clients.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Manage SOX, SOC, and regulatory exams; built control frameworks across $2.5B in assets.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34"/>
                <w:sz w:val="20"/>
                <w:szCs w:val="20"/>
              </w:rPr>
              <w:t xml:space="preserve">Senior Consultant — Financial Advisory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9B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6A3F73"/>
          <w:sz w:val="18"/>
          <w:szCs w:val="18"/>
        </w:rPr>
        <w:t xml:space="preserve">PwC — Chicago, IL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Performed risk assessments, controls testing, and remediation planning.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Advised clients on regulatory readiness and process improvement.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34"/>
                <w:sz w:val="20"/>
                <w:szCs w:val="20"/>
              </w:rPr>
              <w:t xml:space="preserve">Staff Auditor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9B"/>
                <w:sz w:val="17"/>
                <w:szCs w:val="17"/>
              </w:rPr>
              <w:t xml:space="preserve">2012 — 2015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6A3F73"/>
          <w:sz w:val="18"/>
          <w:szCs w:val="18"/>
        </w:rPr>
        <w:t xml:space="preserve">EY — Chicago, IL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Executed financial-statement audits and earned the CPA.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3ECE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3ECE8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6A3F73"/>
                <w:spacing w:val="8"/>
                <w:sz w:val="15"/>
                <w:szCs w:val="15"/>
              </w:rPr>
              <w:t xml:space="preserve">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Enterprise Risk · Internal Controls · SOX / SOC · Regulatory Compliance · Audit · Financial Modeling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6A3F73"/>
                <w:spacing w:val="8"/>
                <w:sz w:val="15"/>
                <w:szCs w:val="15"/>
              </w:rPr>
              <w:t xml:space="preserve">CREDENTIALS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241634"/>
                <w:sz w:val="18"/>
                <w:szCs w:val="18"/>
              </w:rPr>
              <w:t xml:space="preserve">CPA · CIA · FRM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B.S., Accounting — Univ. of Illinois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3B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yl-caoncpw_jdxcih_e1" Type="http://schemas.openxmlformats.org/officeDocument/2006/relationships/hyperlink" Target="mailto:marcus.f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2026-06-20T21:14:16.898Z</dcterms:created>
  <dcterms:modified xsi:type="dcterms:W3CDTF">2026-06-20T21:14:16.898Z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