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240"/>
        <w:gridCol w:w="4000"/>
      </w:tblGrid>
      <w:tr>
        <w:tc>
          <w:tcPr>
            <w:tcW w:type="dxa" w:w="8240"/>
            <w:tcBorders>
              <w:top w:val="none"/>
              <w:left w:val="none"/>
              <w:bottom w:val="none"/>
              <w:right w:val="none"/>
            </w:tcBorders>
            <w:shd w:fill="24303F" w:color="auto" w:val="clear"/>
            <w:tcMar>
              <w:top w:type="dxa" w:w="440"/>
              <w:left w:type="dxa" w:w="680"/>
              <w:bottom w:type="dxa" w:w="120"/>
              <w:right w:type="dxa" w:w="60"/>
            </w:tcMar>
            <w:vAlign w:val="bottom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4E9AC0"/>
                <w:spacing w:val="8"/>
                <w:sz w:val="15"/>
                <w:szCs w:val="15"/>
              </w:rPr>
              <w:t xml:space="preserve">MANAGEMENT CONSULTANT</w:t>
            </w:r>
          </w:p>
          <w:p>
            <w:r>
              <w:rPr>
                <w:rFonts w:ascii="Georgia" w:cs="Georgia" w:eastAsia="Georgia" w:hAnsi="Georgia"/>
                <w:b/>
                <w:bCs/>
                <w:color w:val="FFFFFF"/>
                <w:sz w:val="60"/>
                <w:szCs w:val="60"/>
              </w:rPr>
              <w:t xml:space="preserve">Jonathan Reeves</w:t>
            </w:r>
          </w:p>
        </w:tc>
        <w:tc>
          <w:tcPr>
            <w:tcW w:type="dxa" w:w="4000"/>
            <w:tcBorders>
              <w:top w:val="none"/>
              <w:left w:val="none"/>
              <w:bottom w:val="none"/>
              <w:right w:val="none"/>
            </w:tcBorders>
            <w:shd w:fill="24303F" w:color="auto" w:val="clear"/>
            <w:tcMar>
              <w:top w:type="dxa" w:w="440"/>
              <w:left w:type="dxa" w:w="60"/>
              <w:bottom w:type="dxa" w:w="140"/>
              <w:right w:type="dxa" w:w="680"/>
            </w:tcMar>
            <w:vAlign w:val="bottom"/>
          </w:tcPr>
          <w:p>
            <w:pPr>
              <w:spacing w:line="280" w:lineRule="atLeast"/>
              <w:jc w:val="right"/>
            </w:pPr>
            <w:r>
              <w:rPr>
                <w:rFonts w:ascii="Calibri" w:cs="Calibri" w:eastAsia="Calibri" w:hAnsi="Calibri"/>
                <w:color w:val="9FABC0"/>
                <w:sz w:val="17"/>
                <w:szCs w:val="17"/>
              </w:rPr>
              <w:t xml:space="preserve">New York, NY</w:t>
            </w:r>
            <w:r>
              <w:rPr>
                <w:rFonts w:ascii="Calibri" w:cs="Calibri" w:eastAsia="Calibri" w:hAnsi="Calibri"/>
                <w:color w:val="9FABC0"/>
                <w:sz w:val="17"/>
                <w:szCs w:val="17"/>
              </w:rPr>
              <w:br/>
              <w:t xml:space="preserve">(212) 555-0142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xapaevze7exijzn2sd1ex">
              <w:r>
                <w:rPr>
                  <w:rFonts w:ascii="Calibri" w:cs="Calibri" w:eastAsia="Calibri" w:hAnsi="Calibri"/>
                  <w:color w:val="FFFFFF"/>
                  <w:sz w:val="17"/>
                  <w:szCs w:val="17"/>
                </w:rPr>
                <w:t xml:space="preserve">j.reeves@email.com</w:t>
              </w:r>
            </w:hyperlink>
            <w:r>
              <w:rPr>
                <w:rFonts w:ascii="Calibri" w:cs="Calibri" w:eastAsia="Calibri" w:hAnsi="Calibri"/>
                <w:color w:val="9FABC0"/>
                <w:sz w:val="17"/>
                <w:szCs w:val="17"/>
              </w:rPr>
              <w:br/>
              <w:t xml:space="preserve">in/jonathanreeves</w:t>
            </w:r>
          </w:p>
        </w:tc>
      </w:tr>
    </w:tbl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60"/>
        <w:gridCol w:w="3060"/>
        <w:gridCol w:w="3060"/>
        <w:gridCol w:w="3060"/>
      </w:tblGrid>
      <w:tr>
        <w:tc>
          <w:tcPr>
            <w:tcW w:type="dxa" w:w="3060"/>
            <w:tcBorders>
              <w:top w:val="single" w:color="3A4759" w:sz="4"/>
              <w:left w:val="none"/>
              <w:bottom w:val="none"/>
              <w:right w:val="none"/>
            </w:tcBorders>
            <w:shd w:fill="24303F" w:color="auto" w:val="clear"/>
            <w:tcMar>
              <w:top w:type="dxa" w:w="170"/>
              <w:left w:type="dxa" w:w="680"/>
              <w:bottom w:type="dxa" w:w="400"/>
              <w:right w:type="dxa" w:w="6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4E9AC0"/>
                <w:sz w:val="30"/>
                <w:szCs w:val="30"/>
              </w:rPr>
              <w:t xml:space="preserve">$180M</w:t>
            </w:r>
          </w:p>
          <w:p>
            <w:pPr>
              <w:spacing w:before="50"/>
            </w:pPr>
            <w:r>
              <w:rPr>
                <w:rFonts w:ascii="Calibri" w:cs="Calibri" w:eastAsia="Calibri" w:hAnsi="Calibri"/>
                <w:color w:val="9FABC0"/>
                <w:spacing w:val="6"/>
                <w:sz w:val="13"/>
                <w:szCs w:val="13"/>
              </w:rPr>
              <w:t xml:space="preserve">VALUE DELIVERED</w:t>
            </w:r>
          </w:p>
        </w:tc>
        <w:tc>
          <w:tcPr>
            <w:tcW w:type="dxa" w:w="3060"/>
            <w:tcBorders>
              <w:top w:val="single" w:color="3A4759" w:sz="4"/>
              <w:left w:val="none"/>
              <w:bottom w:val="none"/>
              <w:right w:val="none"/>
            </w:tcBorders>
            <w:shd w:fill="24303F" w:color="auto" w:val="clear"/>
            <w:tcMar>
              <w:top w:type="dxa" w:w="170"/>
              <w:left w:type="dxa" w:w="60"/>
              <w:bottom w:type="dxa" w:w="400"/>
              <w:right w:type="dxa" w:w="6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4E9AC0"/>
                <w:sz w:val="30"/>
                <w:szCs w:val="30"/>
              </w:rPr>
              <w:t xml:space="preserve">40+</w:t>
            </w:r>
          </w:p>
          <w:p>
            <w:pPr>
              <w:spacing w:before="50"/>
            </w:pPr>
            <w:r>
              <w:rPr>
                <w:rFonts w:ascii="Calibri" w:cs="Calibri" w:eastAsia="Calibri" w:hAnsi="Calibri"/>
                <w:color w:val="9FABC0"/>
                <w:spacing w:val="6"/>
                <w:sz w:val="13"/>
                <w:szCs w:val="13"/>
              </w:rPr>
              <w:t xml:space="preserve">ENGAGEMENTS</w:t>
            </w:r>
          </w:p>
        </w:tc>
        <w:tc>
          <w:tcPr>
            <w:tcW w:type="dxa" w:w="3060"/>
            <w:tcBorders>
              <w:top w:val="single" w:color="3A4759" w:sz="4"/>
              <w:left w:val="none"/>
              <w:bottom w:val="none"/>
              <w:right w:val="none"/>
            </w:tcBorders>
            <w:shd w:fill="24303F" w:color="auto" w:val="clear"/>
            <w:tcMar>
              <w:top w:type="dxa" w:w="170"/>
              <w:left w:type="dxa" w:w="60"/>
              <w:bottom w:type="dxa" w:w="400"/>
              <w:right w:type="dxa" w:w="6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4E9AC0"/>
                <w:sz w:val="30"/>
                <w:szCs w:val="30"/>
              </w:rPr>
              <w:t xml:space="preserve">12</w:t>
            </w:r>
          </w:p>
          <w:p>
            <w:pPr>
              <w:spacing w:before="50"/>
            </w:pPr>
            <w:r>
              <w:rPr>
                <w:rFonts w:ascii="Calibri" w:cs="Calibri" w:eastAsia="Calibri" w:hAnsi="Calibri"/>
                <w:color w:val="9FABC0"/>
                <w:spacing w:val="6"/>
                <w:sz w:val="13"/>
                <w:szCs w:val="13"/>
              </w:rPr>
              <w:t xml:space="preserve">INDUSTRIES</w:t>
            </w:r>
          </w:p>
        </w:tc>
        <w:tc>
          <w:tcPr>
            <w:tcW w:type="dxa" w:w="3060"/>
            <w:tcBorders>
              <w:top w:val="single" w:color="3A4759" w:sz="4"/>
              <w:left w:val="none"/>
              <w:bottom w:val="none"/>
              <w:right w:val="none"/>
            </w:tcBorders>
            <w:shd w:fill="24303F" w:color="auto" w:val="clear"/>
            <w:tcMar>
              <w:top w:type="dxa" w:w="170"/>
              <w:left w:type="dxa" w:w="60"/>
              <w:bottom w:type="dxa" w:w="400"/>
              <w:right w:type="dxa" w:w="60"/>
            </w:tcMar>
          </w:tcPr>
          <w:p>
            <w:r>
              <w:rPr>
                <w:rFonts w:ascii="Georgia" w:cs="Georgia" w:eastAsia="Georgia" w:hAnsi="Georgia"/>
                <w:b/>
                <w:bCs/>
                <w:color w:val="4E9AC0"/>
                <w:sz w:val="30"/>
                <w:szCs w:val="30"/>
              </w:rPr>
              <w:t xml:space="preserve">MBA</w:t>
            </w:r>
          </w:p>
          <w:p>
            <w:pPr>
              <w:spacing w:before="50"/>
            </w:pPr>
            <w:r>
              <w:rPr>
                <w:rFonts w:ascii="Calibri" w:cs="Calibri" w:eastAsia="Calibri" w:hAnsi="Calibri"/>
                <w:color w:val="9FABC0"/>
                <w:spacing w:val="6"/>
                <w:sz w:val="13"/>
                <w:szCs w:val="13"/>
              </w:rPr>
              <w:t xml:space="preserve">WHARTON</w:t>
            </w:r>
          </w:p>
        </w:tc>
      </w:tr>
    </w:tbl>
    <w:p>
      <w:pPr>
        <w:spacing w:after="190" w:before="250"/>
        <w:ind w:left="680" w:right="680"/>
      </w:pPr>
      <w:r>
        <w:rPr>
          <w:rFonts w:ascii="Calibri" w:cs="Calibri" w:eastAsia="Calibri" w:hAnsi="Calibri"/>
          <w:color w:val="34405A"/>
          <w:sz w:val="20"/>
          <w:szCs w:val="20"/>
        </w:rPr>
        <w:t xml:space="preserve">Strategy consultant who helps executives make their hardest calls. Ten years advising Fortune 500 leaders on growth, market entry, and operating-model design — framing the problem, building the case, and driving the decision. I turn ambiguity into a clear, quantified path forward.</w:t>
      </w:r>
    </w:p>
    <w:tbl>
      <w:tblPr>
        <w:tblW w:type="dxa" w:w="10880"/>
        <w:tblInd w:type="dxa" w:w="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950"/>
        <w:gridCol w:w="460"/>
        <w:gridCol w:w="7470"/>
      </w:tblGrid>
      <w:tr>
        <w:tc>
          <w:tcPr>
            <w:tcW w:type="dxa" w:w="2950"/>
            <w:tcBorders>
              <w:top w:val="none"/>
              <w:left w:val="none"/>
              <w:bottom w:val="none"/>
              <w:right w:val="none"/>
            </w:tcBorders>
            <w:vAlign w:val="top"/>
          </w:tcPr>
          <w:p>
            <w:pPr>
              <w:spacing w:after="110" w:before="0"/>
            </w:pPr>
            <w:r>
              <w:rPr>
                <w:rFonts w:ascii="Trebuchet MS" w:cs="Trebuchet MS" w:eastAsia="Trebuchet MS" w:hAnsi="Trebuchet MS"/>
                <w:b/>
                <w:bCs/>
                <w:color w:val="2C6E8C"/>
                <w:spacing w:val="8"/>
                <w:sz w:val="15"/>
                <w:szCs w:val="15"/>
              </w:rPr>
              <w:t xml:space="preserve">HOW I PRIORITIZE VALUE</w:t>
            </w:r>
          </w:p>
          <w:tbl>
            <w:tblPr>
              <w:tblW w:type="dxa" w:w="2950"/>
              <w:tblBorders>
                <w:top w:val="single" w:color="24303F" w:sz="8"/>
                <w:left w:val="single" w:color="24303F" w:sz="8"/>
                <w:bottom w:val="single" w:color="24303F" w:sz="8"/>
                <w:right w:val="single" w:color="24303F" w:sz="8"/>
                <w:insideH w:val="none"/>
                <w:insideV w:val="none"/>
              </w:tblBorders>
              <w:tblLayout w:type="fixed"/>
            </w:tblPr>
            <w:tblGrid>
              <w:gridCol w:w="1475"/>
              <w:gridCol w:w="1475"/>
            </w:tblGrid>
            <w:tr>
              <w:tc>
                <w:tcPr>
                  <w:tcW w:type="dxa" w:w="100"/>
                  <w:tcBorders>
                    <w:top w:val="single" w:color="D9CFB6" w:sz="4"/>
                    <w:left w:val="single" w:color="D9CFB6" w:sz="4"/>
                    <w:bottom w:val="single" w:color="D9CFB6" w:sz="4"/>
                    <w:right w:val="single" w:color="D9CFB6" w:sz="4"/>
                  </w:tcBorders>
                  <w:shd w:fill="F4F0E6" w:color="auto" w:val="clear"/>
                  <w:tcMar>
                    <w:top w:type="dxa" w:w="130"/>
                    <w:left w:type="dxa" w:w="150"/>
                    <w:bottom w:type="dxa" w:w="130"/>
                    <w:right w:type="dxa" w:w="10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5A4A22"/>
                      <w:sz w:val="17"/>
                      <w:szCs w:val="17"/>
                    </w:rPr>
                    <w:t xml:space="preserve">Quick wins</w:t>
                  </w:r>
                </w:p>
                <w:p>
                  <w:r>
                    <w:rPr>
                      <w:rFonts w:ascii="Calibri" w:cs="Calibri" w:eastAsia="Calibri" w:hAnsi="Calibri"/>
                      <w:color w:val="8A7A52"/>
                      <w:sz w:val="14"/>
                      <w:szCs w:val="14"/>
                    </w:rPr>
                    <w:t xml:space="preserve">stabilize &amp; fund</w:t>
                  </w:r>
                </w:p>
              </w:tc>
              <w:tc>
                <w:tcPr>
                  <w:tcW w:type="dxa" w:w="100"/>
                  <w:tcBorders>
                    <w:top w:val="single" w:color="D9CFB6" w:sz="4"/>
                    <w:left w:val="single" w:color="D9CFB6" w:sz="4"/>
                    <w:bottom w:val="single" w:color="D9CFB6" w:sz="4"/>
                    <w:right w:val="single" w:color="D9CFB6" w:sz="4"/>
                  </w:tcBorders>
                  <w:shd w:fill="24303F" w:color="auto" w:val="clear"/>
                  <w:tcMar>
                    <w:top w:type="dxa" w:w="130"/>
                    <w:left w:type="dxa" w:w="150"/>
                    <w:bottom w:type="dxa" w:w="130"/>
                    <w:right w:type="dxa" w:w="10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83B8D3"/>
                      <w:sz w:val="17"/>
                      <w:szCs w:val="17"/>
                    </w:rPr>
                    <w:t xml:space="preserve">Big bets</w:t>
                  </w:r>
                </w:p>
                <w:p>
                  <w:r>
                    <w:rPr>
                      <w:rFonts w:ascii="Calibri" w:cs="Calibri" w:eastAsia="Calibri" w:hAnsi="Calibri"/>
                      <w:color w:val="AEB9CC"/>
                      <w:sz w:val="14"/>
                      <w:szCs w:val="14"/>
                    </w:rPr>
                    <w:t xml:space="preserve">where I focus</w:t>
                  </w:r>
                </w:p>
              </w:tc>
            </w:tr>
            <w:tr>
              <w:tc>
                <w:tcPr>
                  <w:tcW w:type="dxa" w:w="100"/>
                  <w:tcBorders>
                    <w:top w:val="single" w:color="D9CFB6" w:sz="4"/>
                    <w:left w:val="single" w:color="D9CFB6" w:sz="4"/>
                    <w:bottom w:val="single" w:color="D9CFB6" w:sz="4"/>
                    <w:right w:val="single" w:color="D9CFB6" w:sz="4"/>
                  </w:tcBorders>
                  <w:shd w:fill="FBFAF6" w:color="auto" w:val="clear"/>
                  <w:tcMar>
                    <w:top w:type="dxa" w:w="130"/>
                    <w:left w:type="dxa" w:w="150"/>
                    <w:bottom w:type="dxa" w:w="130"/>
                    <w:right w:type="dxa" w:w="10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9A8A5E"/>
                      <w:sz w:val="17"/>
                      <w:szCs w:val="17"/>
                    </w:rPr>
                    <w:t xml:space="preserve">Deprioritize</w:t>
                  </w:r>
                </w:p>
                <w:p>
                  <w:r>
                    <w:rPr>
                      <w:rFonts w:ascii="Calibri" w:cs="Calibri" w:eastAsia="Calibri" w:hAnsi="Calibri"/>
                      <w:color w:val="B0A17A"/>
                      <w:sz w:val="14"/>
                      <w:szCs w:val="14"/>
                    </w:rPr>
                    <w:t xml:space="preserve">park</w:t>
                  </w:r>
                </w:p>
              </w:tc>
              <w:tc>
                <w:tcPr>
                  <w:tcW w:type="dxa" w:w="100"/>
                  <w:tcBorders>
                    <w:top w:val="single" w:color="D9CFB6" w:sz="4"/>
                    <w:left w:val="single" w:color="D9CFB6" w:sz="4"/>
                    <w:bottom w:val="single" w:color="D9CFB6" w:sz="4"/>
                    <w:right w:val="single" w:color="D9CFB6" w:sz="4"/>
                  </w:tcBorders>
                  <w:shd w:fill="F4F0E6" w:color="auto" w:val="clear"/>
                  <w:tcMar>
                    <w:top w:type="dxa" w:w="130"/>
                    <w:left w:type="dxa" w:w="150"/>
                    <w:bottom w:type="dxa" w:w="130"/>
                    <w:right w:type="dxa" w:w="10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5A4A22"/>
                      <w:sz w:val="17"/>
                      <w:szCs w:val="17"/>
                    </w:rPr>
                    <w:t xml:space="preserve">Fill-ins</w:t>
                  </w:r>
                </w:p>
                <w:p>
                  <w:r>
                    <w:rPr>
                      <w:rFonts w:ascii="Calibri" w:cs="Calibri" w:eastAsia="Calibri" w:hAnsi="Calibri"/>
                      <w:color w:val="8A7A52"/>
                      <w:sz w:val="14"/>
                      <w:szCs w:val="14"/>
                    </w:rPr>
                    <w:t xml:space="preserve">delegate</w:t>
                  </w:r>
                </w:p>
              </w:tc>
            </w:tr>
          </w:tbl>
          <w:p>
            <w:pPr>
              <w:spacing w:before="60"/>
              <w:jc w:val="center"/>
            </w:pPr>
            <w:r>
              <w:rPr>
                <w:rFonts w:ascii="Trebuchet MS" w:cs="Trebuchet MS" w:eastAsia="Trebuchet MS" w:hAnsi="Trebuchet MS"/>
                <w:b/>
                <w:bCs/>
                <w:color w:val="8A93A8"/>
                <w:spacing w:val="6"/>
                <w:sz w:val="13"/>
                <w:szCs w:val="13"/>
              </w:rPr>
              <w:t xml:space="preserve">FEASIBILITY →</w:t>
            </w:r>
          </w:p>
        </w:tc>
        <w:tc>
          <w:tcPr>
            <w:tcW w:type="dxa" w:w="46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7470"/>
            <w:tcBorders>
              <w:top w:val="none"/>
              <w:left w:val="none"/>
              <w:bottom w:val="none"/>
              <w:right w:val="none"/>
            </w:tcBorders>
            <w:vAlign w:val="top"/>
          </w:tcPr>
          <w:p>
            <w:pPr>
              <w:spacing w:after="110" w:before="0"/>
            </w:pPr>
            <w:r>
              <w:rPr>
                <w:rFonts w:ascii="Trebuchet MS" w:cs="Trebuchet MS" w:eastAsia="Trebuchet MS" w:hAnsi="Trebuchet MS"/>
                <w:b/>
                <w:bCs/>
                <w:color w:val="2C6E8C"/>
                <w:spacing w:val="8"/>
                <w:sz w:val="15"/>
                <w:szCs w:val="15"/>
              </w:rPr>
              <w:t xml:space="preserve">SELECTED ENGAGEMENTS</w:t>
            </w:r>
          </w:p>
          <w:tbl>
            <w:tblPr>
              <w:tblW w:type="dxa" w:w="747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7470"/>
            </w:tblGrid>
            <w:tr>
              <w:tc>
                <w:tcPr>
                  <w:tcW w:type="dxa" w:w="7470"/>
                  <w:tcBorders>
                    <w:top w:val="none"/>
                    <w:left w:val="single" w:color="4E9AC0" w:sz="18"/>
                    <w:bottom w:val="none"/>
                    <w:right w:val="none"/>
                  </w:tcBorders>
                  <w:shd w:fill="FAF7F0" w:color="auto" w:val="clear"/>
                  <w:tcMar>
                    <w:top w:type="dxa" w:w="110"/>
                    <w:left w:type="dxa" w:w="170"/>
                    <w:bottom w:type="dxa" w:w="110"/>
                    <w:right w:type="dxa" w:w="14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4303F"/>
                      <w:sz w:val="18"/>
                      <w:szCs w:val="18"/>
                    </w:rPr>
                    <w:t xml:space="preserve">Global retailer — growth strategy</w:t>
                  </w:r>
                </w:p>
                <w:p>
                  <w:pPr>
                    <w:spacing w:before="20"/>
                  </w:pPr>
                  <w:r>
                    <w:rPr>
                      <w:rFonts w:ascii="Calibri" w:cs="Calibri" w:eastAsia="Calibri" w:hAnsi="Calibri"/>
                      <w:color w:val="5D6477"/>
                      <w:sz w:val="17"/>
                      <w:szCs w:val="17"/>
                    </w:rPr>
                    <w:t xml:space="preserve">New-market entry plan →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2C6E8C"/>
                      <w:sz w:val="17"/>
                      <w:szCs w:val="17"/>
                    </w:rPr>
                    <w:t xml:space="preserve">$120M</w:t>
                  </w:r>
                  <w:r>
                    <w:rPr>
                      <w:rFonts w:ascii="Calibri" w:cs="Calibri" w:eastAsia="Calibri" w:hAnsi="Calibri"/>
                      <w:color w:val="5D6477"/>
                      <w:sz w:val="17"/>
                      <w:szCs w:val="17"/>
                    </w:rPr>
                    <w:t xml:space="preserve"> revenue runway</w:t>
                  </w:r>
                </w:p>
              </w:tc>
            </w:tr>
          </w:tbl>
          <w:p>
            <w:pPr>
              <w:spacing w:after="100"/>
            </w:pPr>
          </w:p>
          <w:tbl>
            <w:tblPr>
              <w:tblW w:type="dxa" w:w="747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7470"/>
            </w:tblGrid>
            <w:tr>
              <w:tc>
                <w:tcPr>
                  <w:tcW w:type="dxa" w:w="7470"/>
                  <w:tcBorders>
                    <w:top w:val="none"/>
                    <w:left w:val="single" w:color="4E9AC0" w:sz="18"/>
                    <w:bottom w:val="none"/>
                    <w:right w:val="none"/>
                  </w:tcBorders>
                  <w:shd w:fill="FAF7F0" w:color="auto" w:val="clear"/>
                  <w:tcMar>
                    <w:top w:type="dxa" w:w="110"/>
                    <w:left w:type="dxa" w:w="170"/>
                    <w:bottom w:type="dxa" w:w="110"/>
                    <w:right w:type="dxa" w:w="14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4303F"/>
                      <w:sz w:val="18"/>
                      <w:szCs w:val="18"/>
                    </w:rPr>
                    <w:t xml:space="preserve">Industrial — operating model</w:t>
                  </w:r>
                </w:p>
                <w:p>
                  <w:pPr>
                    <w:spacing w:before="20"/>
                  </w:pPr>
                  <w:r>
                    <w:rPr>
                      <w:rFonts w:ascii="Calibri" w:cs="Calibri" w:eastAsia="Calibri" w:hAnsi="Calibri"/>
                      <w:color w:val="5D6477"/>
                      <w:sz w:val="17"/>
                      <w:szCs w:val="17"/>
                    </w:rPr>
                    <w:t xml:space="preserve">Redesign →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2C6E8C"/>
                      <w:sz w:val="17"/>
                      <w:szCs w:val="17"/>
                    </w:rPr>
                    <w:t xml:space="preserve">18%</w:t>
                  </w:r>
                  <w:r>
                    <w:rPr>
                      <w:rFonts w:ascii="Calibri" w:cs="Calibri" w:eastAsia="Calibri" w:hAnsi="Calibri"/>
                      <w:color w:val="5D6477"/>
                      <w:sz w:val="17"/>
                      <w:szCs w:val="17"/>
                    </w:rPr>
                    <w:t xml:space="preserve"> cost-to-serve reduction</w:t>
                  </w:r>
                </w:p>
              </w:tc>
            </w:tr>
          </w:tbl>
          <w:p>
            <w:pPr>
              <w:spacing w:after="100"/>
            </w:pPr>
          </w:p>
          <w:tbl>
            <w:tblPr>
              <w:tblW w:type="dxa" w:w="747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7470"/>
            </w:tblGrid>
            <w:tr>
              <w:tc>
                <w:tcPr>
                  <w:tcW w:type="dxa" w:w="7470"/>
                  <w:tcBorders>
                    <w:top w:val="none"/>
                    <w:left w:val="single" w:color="4E9AC0" w:sz="18"/>
                    <w:bottom w:val="none"/>
                    <w:right w:val="none"/>
                  </w:tcBorders>
                  <w:shd w:fill="FAF7F0" w:color="auto" w:val="clear"/>
                  <w:tcMar>
                    <w:top w:type="dxa" w:w="110"/>
                    <w:left w:type="dxa" w:w="170"/>
                    <w:bottom w:type="dxa" w:w="110"/>
                    <w:right w:type="dxa" w:w="14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4303F"/>
                      <w:sz w:val="18"/>
                      <w:szCs w:val="18"/>
                    </w:rPr>
                    <w:t xml:space="preserve">PE diligence — healthcare</w:t>
                  </w:r>
                </w:p>
                <w:p>
                  <w:pPr>
                    <w:spacing w:before="20"/>
                  </w:pPr>
                  <w:r>
                    <w:rPr>
                      <w:rFonts w:ascii="Calibri" w:cs="Calibri" w:eastAsia="Calibri" w:hAnsi="Calibri"/>
                      <w:color w:val="5D6477"/>
                      <w:sz w:val="17"/>
                      <w:szCs w:val="17"/>
                    </w:rPr>
                    <w:t xml:space="preserve">Commercial DD on a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2C6E8C"/>
                      <w:sz w:val="17"/>
                      <w:szCs w:val="17"/>
                    </w:rPr>
                    <w:t xml:space="preserve">$400M</w:t>
                  </w:r>
                  <w:r>
                    <w:rPr>
                      <w:rFonts w:ascii="Calibri" w:cs="Calibri" w:eastAsia="Calibri" w:hAnsi="Calibri"/>
                      <w:color w:val="5D6477"/>
                      <w:sz w:val="17"/>
                      <w:szCs w:val="17"/>
                    </w:rPr>
                    <w:t xml:space="preserve"> deal</w:t>
                  </w:r>
                </w:p>
              </w:tc>
            </w:tr>
          </w:tbl>
          <w:p>
            <w:pPr>
              <w:spacing w:after="0"/>
            </w:pPr>
          </w:p>
        </w:tc>
      </w:tr>
    </w:tbl>
    <w:p>
      <w:pPr>
        <w:spacing w:after="190"/>
      </w:pPr>
    </w:p>
    <w:p>
      <w:pPr>
        <w:pBdr>
          <w:bottom w:val="single" w:color="4E9AC0" w:sz="16"/>
        </w:pBdr>
        <w:spacing w:after="120" w:before="0"/>
        <w:ind w:left="680" w:right="680"/>
      </w:pPr>
      <w:r>
        <w:rPr>
          <w:rFonts w:ascii="Georgia" w:cs="Georgia" w:eastAsia="Georgia" w:hAnsi="Georgia"/>
          <w:b/>
          <w:bCs/>
          <w:color w:val="24303F"/>
          <w:sz w:val="25"/>
          <w:szCs w:val="25"/>
        </w:rPr>
        <w:t xml:space="preserve">Experience</w:t>
      </w:r>
    </w:p>
    <w:p>
      <w:pPr>
        <w:spacing w:after="20"/>
      </w:pPr>
    </w:p>
    <w:tbl>
      <w:tblPr>
        <w:tblW w:type="dxa" w:w="10880"/>
        <w:tblInd w:type="dxa" w:w="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80"/>
        <w:gridCol w:w="1500"/>
      </w:tblGrid>
      <w:tr>
        <w:tc>
          <w:tcPr>
            <w:tcW w:type="dxa" w:w="93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4303F"/>
                <w:sz w:val="20"/>
                <w:szCs w:val="20"/>
              </w:rPr>
              <w:t xml:space="preserve">Engagement Manager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59DB0"/>
                <w:sz w:val="17"/>
                <w:szCs w:val="17"/>
              </w:rPr>
              <w:t xml:space="preserve">2020 — Present</w:t>
            </w:r>
          </w:p>
        </w:tc>
      </w:tr>
    </w:tbl>
    <w:p>
      <w:pPr>
        <w:spacing w:after="48" w:before="30"/>
        <w:ind w:left="680" w:right="680"/>
      </w:pPr>
      <w:r>
        <w:rPr>
          <w:rFonts w:ascii="Calibri" w:cs="Calibri" w:eastAsia="Calibri" w:hAnsi="Calibri"/>
          <w:b/>
          <w:bCs/>
          <w:color w:val="2C6E8C"/>
          <w:sz w:val="18"/>
          <w:szCs w:val="18"/>
        </w:rPr>
        <w:t xml:space="preserve">McKinsey &amp; Company — New York, NY</w:t>
      </w:r>
    </w:p>
    <w:p>
      <w:pPr>
        <w:pStyle w:val="ListParagraph"/>
        <w:numPr>
          <w:ilvl w:val="0"/>
          <w:numId w:val="2"/>
        </w:numPr>
        <w:spacing w:after="28"/>
        <w:ind w:left="980" w:right="680" w:hanging="160"/>
      </w:pPr>
      <w:r>
        <w:rPr>
          <w:rFonts w:ascii="Calibri" w:cs="Calibri" w:eastAsia="Calibri" w:hAnsi="Calibri"/>
          <w:color w:val="34405A"/>
          <w:sz w:val="19"/>
          <w:szCs w:val="19"/>
        </w:rPr>
        <w:t xml:space="preserve">Lead 4–6 person teams on growth and cost strategy for Fortune 500 clients; own the CXO relationship.</w:t>
      </w:r>
    </w:p>
    <w:p>
      <w:pPr>
        <w:pStyle w:val="ListParagraph"/>
        <w:numPr>
          <w:ilvl w:val="0"/>
          <w:numId w:val="2"/>
        </w:numPr>
        <w:spacing w:after="28"/>
        <w:ind w:left="980" w:right="680" w:hanging="160"/>
      </w:pPr>
      <w:r>
        <w:rPr>
          <w:rFonts w:ascii="Calibri" w:cs="Calibri" w:eastAsia="Calibri" w:hAnsi="Calibri"/>
          <w:color w:val="34405A"/>
          <w:sz w:val="19"/>
          <w:szCs w:val="19"/>
        </w:rPr>
        <w:t xml:space="preserve">Delivered $180M+ in quantified impact across 20+ engagements.</w:t>
      </w:r>
    </w:p>
    <w:p>
      <w:pPr>
        <w:spacing w:after="170"/>
        <w:ind w:left="680" w:right="680"/>
      </w:pPr>
    </w:p>
    <w:tbl>
      <w:tblPr>
        <w:tblW w:type="dxa" w:w="10880"/>
        <w:tblInd w:type="dxa" w:w="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80"/>
        <w:gridCol w:w="1500"/>
      </w:tblGrid>
      <w:tr>
        <w:tc>
          <w:tcPr>
            <w:tcW w:type="dxa" w:w="93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4303F"/>
                <w:sz w:val="20"/>
                <w:szCs w:val="20"/>
              </w:rPr>
              <w:t xml:space="preserve">Consultant → Senior Consultant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59DB0"/>
                <w:sz w:val="17"/>
                <w:szCs w:val="17"/>
              </w:rPr>
              <w:t xml:space="preserve">2016 — 2020</w:t>
            </w:r>
          </w:p>
        </w:tc>
      </w:tr>
    </w:tbl>
    <w:p>
      <w:pPr>
        <w:spacing w:after="48" w:before="30"/>
        <w:ind w:left="680" w:right="680"/>
      </w:pPr>
      <w:r>
        <w:rPr>
          <w:rFonts w:ascii="Calibri" w:cs="Calibri" w:eastAsia="Calibri" w:hAnsi="Calibri"/>
          <w:b/>
          <w:bCs/>
          <w:color w:val="2C6E8C"/>
          <w:sz w:val="18"/>
          <w:szCs w:val="18"/>
        </w:rPr>
        <w:t xml:space="preserve">Bain &amp; Company — Boston, MA</w:t>
      </w:r>
    </w:p>
    <w:p>
      <w:pPr>
        <w:pStyle w:val="ListParagraph"/>
        <w:numPr>
          <w:ilvl w:val="0"/>
          <w:numId w:val="2"/>
        </w:numPr>
        <w:spacing w:after="28"/>
        <w:ind w:left="980" w:right="680" w:hanging="160"/>
      </w:pPr>
      <w:r>
        <w:rPr>
          <w:rFonts w:ascii="Calibri" w:cs="Calibri" w:eastAsia="Calibri" w:hAnsi="Calibri"/>
          <w:color w:val="34405A"/>
          <w:sz w:val="19"/>
          <w:szCs w:val="19"/>
        </w:rPr>
        <w:t xml:space="preserve">Built market models and led workstreams on diligence and performance-improvement cases.</w:t>
      </w:r>
    </w:p>
    <w:p>
      <w:pPr>
        <w:pStyle w:val="ListParagraph"/>
        <w:numPr>
          <w:ilvl w:val="0"/>
          <w:numId w:val="2"/>
        </w:numPr>
        <w:spacing w:after="28"/>
        <w:ind w:left="980" w:right="680" w:hanging="160"/>
      </w:pPr>
      <w:r>
        <w:rPr>
          <w:rFonts w:ascii="Calibri" w:cs="Calibri" w:eastAsia="Calibri" w:hAnsi="Calibri"/>
          <w:color w:val="34405A"/>
          <w:sz w:val="19"/>
          <w:szCs w:val="19"/>
        </w:rPr>
        <w:t xml:space="preserve">Promoted ahead of cycle for client impact and analytical rigor.</w:t>
      </w:r>
    </w:p>
    <w:p>
      <w:pPr>
        <w:spacing w:after="170"/>
        <w:ind w:left="680" w:right="680"/>
      </w:pPr>
    </w:p>
    <w:tbl>
      <w:tblPr>
        <w:tblW w:type="dxa" w:w="10880"/>
        <w:tblInd w:type="dxa" w:w="68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380"/>
        <w:gridCol w:w="1500"/>
      </w:tblGrid>
      <w:tr>
        <w:tc>
          <w:tcPr>
            <w:tcW w:type="dxa" w:w="93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4303F"/>
                <w:sz w:val="20"/>
                <w:szCs w:val="20"/>
              </w:rPr>
              <w:t xml:space="preserve">Business Analyst</w:t>
            </w:r>
          </w:p>
        </w:tc>
        <w:tc>
          <w:tcPr>
            <w:tcW w:type="dxa" w:w="15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59DB0"/>
                <w:sz w:val="17"/>
                <w:szCs w:val="17"/>
              </w:rPr>
              <w:t xml:space="preserve">2014 — 2016</w:t>
            </w:r>
          </w:p>
        </w:tc>
      </w:tr>
    </w:tbl>
    <w:p>
      <w:pPr>
        <w:spacing w:after="48" w:before="30"/>
        <w:ind w:left="680" w:right="680"/>
      </w:pPr>
      <w:r>
        <w:rPr>
          <w:rFonts w:ascii="Calibri" w:cs="Calibri" w:eastAsia="Calibri" w:hAnsi="Calibri"/>
          <w:b/>
          <w:bCs/>
          <w:color w:val="2C6E8C"/>
          <w:sz w:val="18"/>
          <w:szCs w:val="18"/>
        </w:rPr>
        <w:t xml:space="preserve">Deloitte Consulting — New York, NY</w:t>
      </w:r>
    </w:p>
    <w:p>
      <w:pPr>
        <w:pStyle w:val="ListParagraph"/>
        <w:numPr>
          <w:ilvl w:val="0"/>
          <w:numId w:val="2"/>
        </w:numPr>
        <w:spacing w:after="28"/>
        <w:ind w:left="980" w:right="680" w:hanging="160"/>
      </w:pPr>
      <w:r>
        <w:rPr>
          <w:rFonts w:ascii="Calibri" w:cs="Calibri" w:eastAsia="Calibri" w:hAnsi="Calibri"/>
          <w:color w:val="34405A"/>
          <w:sz w:val="19"/>
          <w:szCs w:val="19"/>
        </w:rPr>
        <w:t xml:space="preserve">Supported strategy and operations projects across financial services.</w:t>
      </w:r>
    </w:p>
    <w:p>
      <w:pPr>
        <w:spacing w:after="0"/>
        <w:ind w:left="680" w:right="680"/>
      </w:pPr>
    </w:p>
    <w:p>
      <w:pPr>
        <w:spacing w:after="20"/>
      </w:pPr>
    </w:p>
    <w:tbl>
      <w:tblPr>
        <w:tblW w:type="dxa" w:w="10880"/>
        <w:tblInd w:type="dxa" w:w="680"/>
        <w:tblBorders>
          <w:top w:val="single" w:color="E7E3D8" w:sz="8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07"/>
        <w:gridCol w:w="440"/>
        <w:gridCol w:w="4333"/>
      </w:tblGrid>
      <w:tr>
        <w:tc>
          <w:tcPr>
            <w:tcW w:type="dxa" w:w="6107"/>
            <w:tcBorders>
              <w:top w:val="none"/>
              <w:left w:val="none"/>
              <w:bottom w:val="none"/>
              <w:right w:val="single" w:color="E7E3D8" w:sz="8"/>
            </w:tcBorders>
            <w:tcMar>
              <w:top w:type="dxa" w:w="16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2C6E8C"/>
                <w:spacing w:val="8"/>
                <w:sz w:val="15"/>
                <w:szCs w:val="15"/>
              </w:rPr>
              <w:t xml:space="preserve">EXPERTISE</w:t>
            </w:r>
          </w:p>
          <w:p>
            <w:pPr>
              <w:spacing w:line="300" w:lineRule="atLeast"/>
            </w:pPr>
            <w:r>
              <w:rPr>
                <w:rFonts w:ascii="Calibri" w:cs="Calibri" w:eastAsia="Calibri" w:hAnsi="Calibri"/>
                <w:color w:val="34405A"/>
                <w:sz w:val="18"/>
                <w:szCs w:val="18"/>
              </w:rPr>
              <w:t xml:space="preserve">Corporate Strategy · Market Entry · Operating Model · M&amp;A Diligence · Financial Modeling</w:t>
            </w:r>
          </w:p>
        </w:tc>
        <w:tc>
          <w:tcPr>
            <w:tcW w:type="dxa" w:w="4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33"/>
            <w:tcBorders>
              <w:top w:val="none"/>
              <w:left w:val="none"/>
              <w:bottom w:val="none"/>
              <w:right w:val="none"/>
            </w:tcBorders>
            <w:tcMar>
              <w:top w:type="dxa" w:w="16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Trebuchet MS" w:cs="Trebuchet MS" w:eastAsia="Trebuchet MS" w:hAnsi="Trebuchet MS"/>
                <w:b/>
                <w:bCs/>
                <w:color w:val="2C6E8C"/>
                <w:spacing w:val="8"/>
                <w:sz w:val="15"/>
                <w:szCs w:val="15"/>
              </w:rPr>
              <w:t xml:space="preserve">EDUCATION</w:t>
            </w:r>
          </w:p>
          <w:p>
            <w:pPr>
              <w:spacing w:before="0"/>
            </w:pPr>
            <w:r>
              <w:rPr>
                <w:rFonts w:ascii="Calibri" w:cs="Calibri" w:eastAsia="Calibri" w:hAnsi="Calibri"/>
                <w:b/>
                <w:bCs/>
                <w:color w:val="24303F"/>
                <w:sz w:val="18"/>
                <w:szCs w:val="18"/>
              </w:rPr>
              <w:t xml:space="preserve">MBA — The Wharton School</w:t>
            </w:r>
          </w:p>
          <w:p>
            <w:pPr>
              <w:spacing w:before="14"/>
            </w:pPr>
            <w:r>
              <w:rPr>
                <w:rFonts w:ascii="Calibri" w:cs="Calibri" w:eastAsia="Calibri" w:hAnsi="Calibri"/>
                <w:color w:val="8A8472"/>
                <w:sz w:val="17"/>
                <w:szCs w:val="17"/>
              </w:rPr>
              <w:t xml:space="preserve">B.A., Economics — Yale</w:t>
            </w:r>
          </w:p>
        </w:tc>
      </w:tr>
    </w:tbl>
    <w:sectPr>
      <w:pgSz w:w="12240" w:h="15840" w:orient="portrait"/>
      <w:pgMar w:top="0" w:right="0" w:bottom="60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4405A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xapaevze7exijzn2sd1ex" Type="http://schemas.openxmlformats.org/officeDocument/2006/relationships/hyperlink" Target="mailto:j.reeve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2026-06-20T21:14:16.857Z</dcterms:created>
  <dcterms:modified xsi:type="dcterms:W3CDTF">2026-06-20T21:14:16.857Z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