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320"/>
        <w:tblBorders>
          <w:top w:val="double" w:color="D9C4AD" w:sz="6"/>
          <w:left w:val="double" w:color="D9C4AD" w:sz="6"/>
          <w:bottom w:val="double" w:color="D9C4AD" w:sz="6"/>
          <w:right w:val="double" w:color="D9C4AD" w:sz="6"/>
          <w:insideH w:val="none"/>
          <w:insideV w:val="none"/>
        </w:tblBorders>
        <w:tblLayout w:type="fixed"/>
      </w:tblPr>
      <w:tblGrid>
        <w:gridCol w:w="8900"/>
        <w:gridCol w:w="2420"/>
      </w:tblGrid>
      <w:tr>
        <w:trPr>
          <w:trHeight w:val="13700" w:hRule="atLeast"/>
        </w:trPr>
        <w:tc>
          <w:tcPr>
            <w:tcW w:type="dxa" w:w="8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60"/>
              <w:left w:type="dxa" w:w="560"/>
              <w:bottom w:type="dxa" w:w="520"/>
              <w:right w:type="dxa" w:w="520"/>
            </w:tcMar>
            <w:vAlign w:val="top"/>
          </w:tcPr>
          <w:p>
            <w:pPr>
              <w:spacing w:after="60"/>
            </w:pPr>
            <w:r>
              <w:rPr>
                <w:rFonts w:ascii="Garamond" w:cs="Garamond" w:eastAsia="Garamond" w:hAnsi="Garamond"/>
                <w:color w:val="7A2E3A"/>
                <w:sz w:val="57"/>
                <w:szCs w:val="57"/>
              </w:rPr>
              <w:t xml:space="preserve">Daniel Okafor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A9803F"/>
                <w:spacing w:val="30"/>
                <w:sz w:val="18"/>
                <w:szCs w:val="18"/>
              </w:rPr>
              <w:t xml:space="preserve">CUSTOMER SUCCESS MANAGER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6E655D"/>
                <w:sz w:val="17"/>
                <w:szCs w:val="17"/>
              </w:rPr>
              <w:t xml:space="preserve">Boston, MA · (617) 555-0188 · </w:t>
            </w:r>
            <w:hyperlink w:history="1" r:id="rIdbm9ga_e5pfhockqb_fhbt">
              <w:r>
                <w:rPr>
                  <w:rFonts w:ascii="Calibri" w:cs="Calibri" w:eastAsia="Calibri" w:hAnsi="Calibri"/>
                  <w:color w:val="7A2E3A"/>
                  <w:sz w:val="17"/>
                  <w:szCs w:val="17"/>
                  <w:u w:val="single"/>
                </w:rPr>
                <w:t xml:space="preserve">daniel.okafor@email.com</w:t>
              </w:r>
            </w:hyperlink>
            <w:r>
              <w:rPr>
                <w:rFonts w:ascii="Calibri" w:cs="Calibri" w:eastAsia="Calibri" w:hAnsi="Calibri"/>
                <w:color w:val="6E655D"/>
                <w:sz w:val="17"/>
                <w:szCs w:val="17"/>
              </w:rPr>
              <w:t xml:space="preserve"> · in/danielokafor</w:t>
            </w:r>
          </w:p>
          <w:p>
            <w:pPr>
              <w:pBdr>
                <w:bottom w:val="single" w:color="E7D6C2" w:sz="6" w:space="4"/>
              </w:pBdr>
              <w:spacing w:after="200" w:before="20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180"/>
            </w:pPr>
            <w:r>
              <w:rPr>
                <w:rFonts w:ascii="Calibri" w:cs="Calibri" w:eastAsia="Calibri" w:hAnsi="Calibri"/>
                <w:color w:val="3C352F"/>
                <w:sz w:val="19"/>
                <w:szCs w:val="19"/>
              </w:rPr>
              <w:t xml:space="preserve">Customer success manager with 10 years owning relationships from onboarding through renewal and expansion. I turn adoption into retention — running QBRs, building health-score playbooks, and partnering cross-functionally to grow net revenue and lift NPS.</w:t>
            </w:r>
          </w:p>
          <w:p>
            <w:pPr>
              <w:pBdr>
                <w:bottom w:val="single" w:color="E7D6C2" w:sz="6" w:space="4"/>
              </w:pBdr>
              <w:spacing w:after="130"/>
            </w:pPr>
            <w:r>
              <w:rPr>
                <w:rFonts w:ascii="Garamond" w:cs="Garamond" w:eastAsia="Garamond" w:hAnsi="Garamond"/>
                <w:color w:val="7A2E3A"/>
                <w:sz w:val="24"/>
                <w:szCs w:val="24"/>
              </w:rPr>
              <w:t xml:space="preserve">Experience</w:t>
            </w:r>
          </w:p>
          <w:tbl>
            <w:tblPr>
              <w:tblW w:type="dxa" w:w="7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20"/>
              <w:gridCol w:w="1700"/>
            </w:tblGrid>
            <w:tr>
              <w:tc>
                <w:tcPr>
                  <w:tcW w:type="dxa" w:w="6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2422"/>
                      <w:sz w:val="20"/>
                      <w:szCs w:val="20"/>
                    </w:rPr>
                    <w:t xml:space="preserve">Senior Customer Success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7988A"/>
                      <w:sz w:val="17"/>
                      <w:szCs w:val="17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A9803F"/>
                <w:sz w:val="18"/>
                <w:szCs w:val="18"/>
              </w:rPr>
              <w:t xml:space="preserve">HubSpot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52F"/>
                <w:sz w:val="19"/>
                <w:szCs w:val="19"/>
              </w:rPr>
              <w:t xml:space="preserve">Own a $4.2M book of 60 mid-market accounts, driving 118% net revenue retention through proactive QBRs and expansion plays.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52F"/>
                <w:sz w:val="19"/>
                <w:szCs w:val="19"/>
              </w:rPr>
              <w:t xml:space="preserve">Lifted segment NPS from 54 to 72 in 12 months via structured onboarding and a customer feedback loop.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52F"/>
                <w:sz w:val="19"/>
                <w:szCs w:val="19"/>
              </w:rPr>
              <w:t xml:space="preserve">Cut churn 22% by building health-score playbooks in Gainsight, later adopted across the CS org.</w:t>
            </w:r>
          </w:p>
          <w:p>
            <w:pPr>
              <w:spacing w:after="110"/>
            </w:pPr>
          </w:p>
          <w:tbl>
            <w:tblPr>
              <w:tblW w:type="dxa" w:w="7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20"/>
              <w:gridCol w:w="1700"/>
            </w:tblGrid>
            <w:tr>
              <w:tc>
                <w:tcPr>
                  <w:tcW w:type="dxa" w:w="6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2422"/>
                      <w:sz w:val="20"/>
                      <w:szCs w:val="20"/>
                    </w:rPr>
                    <w:t xml:space="preserve">Customer Success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7988A"/>
                      <w:sz w:val="17"/>
                      <w:szCs w:val="17"/>
                    </w:rPr>
                    <w:t xml:space="preserve">2017 – 2020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A9803F"/>
                <w:sz w:val="18"/>
                <w:szCs w:val="18"/>
              </w:rPr>
              <w:t xml:space="preserve">Asana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52F"/>
                <w:sz w:val="19"/>
                <w:szCs w:val="19"/>
              </w:rPr>
              <w:t xml:space="preserve">Managed 80 SMB accounts to a 96% gross renewal rate; sourced $600K in upsell pipeline.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52F"/>
                <w:sz w:val="19"/>
                <w:szCs w:val="19"/>
              </w:rPr>
              <w:t xml:space="preserve">Ran a voice-of-customer program that informed 12 product roadmap items.</w:t>
            </w:r>
          </w:p>
          <w:p>
            <w:pPr>
              <w:spacing w:after="110"/>
            </w:pPr>
          </w:p>
          <w:tbl>
            <w:tblPr>
              <w:tblW w:type="dxa" w:w="78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20"/>
              <w:gridCol w:w="1700"/>
            </w:tblGrid>
            <w:tr>
              <w:tc>
                <w:tcPr>
                  <w:tcW w:type="dxa" w:w="6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2422"/>
                      <w:sz w:val="20"/>
                      <w:szCs w:val="20"/>
                    </w:rPr>
                    <w:t xml:space="preserve">Account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7988A"/>
                      <w:sz w:val="17"/>
                      <w:szCs w:val="17"/>
                    </w:rPr>
                    <w:t xml:space="preserve">2014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A9803F"/>
                <w:sz w:val="18"/>
                <w:szCs w:val="18"/>
              </w:rPr>
              <w:t xml:space="preserve">Wayfair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C352F"/>
                <w:sz w:val="19"/>
                <w:szCs w:val="19"/>
              </w:rPr>
              <w:t xml:space="preserve">Grew a portfolio of B2B accounts 30% YoY through relationship management and cross-sell.</w:t>
            </w:r>
          </w:p>
          <w:p>
            <w:pPr>
              <w:spacing w:after="0"/>
            </w:pPr>
          </w:p>
        </w:tc>
        <w:tc>
          <w:tcPr>
            <w:tcW w:type="dxa" w:w="2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7F1EA" w:color="auto" w:val="clear"/>
            <w:tcMar>
              <w:top w:type="dxa" w:w="560"/>
              <w:left w:type="dxa" w:w="380"/>
              <w:bottom w:type="dxa" w:w="520"/>
              <w:right w:type="dxa" w:w="360"/>
            </w:tcMar>
            <w:vAlign w:val="top"/>
          </w:tcPr>
          <w:p>
            <w:pPr>
              <w:spacing w:after="200"/>
            </w:pPr>
            <w:r>
              <w:rPr>
                <w:rFonts w:ascii="Garamond" w:cs="Garamond" w:eastAsia="Garamond" w:hAnsi="Garamond"/>
                <w:color w:val="7A2E3A"/>
                <w:sz w:val="23"/>
                <w:szCs w:val="23"/>
              </w:rPr>
              <w:t xml:space="preserve">Client Results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7A2E3A"/>
                <w:sz w:val="41"/>
                <w:szCs w:val="41"/>
              </w:rPr>
              <w:t xml:space="preserve">118%</w:t>
            </w:r>
          </w:p>
          <w:p>
            <w:pPr>
              <w:spacing w:after="200"/>
            </w:pPr>
            <w:r>
              <w:rPr>
                <w:rFonts w:ascii="Calibri" w:cs="Calibri" w:eastAsia="Calibri" w:hAnsi="Calibri"/>
                <w:b/>
                <w:bCs/>
                <w:color w:val="8A7D70"/>
                <w:spacing w:val="8"/>
                <w:sz w:val="13"/>
                <w:szCs w:val="13"/>
              </w:rPr>
              <w:t xml:space="preserve">NET REVENUE RETENTION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7A2E3A"/>
                <w:sz w:val="41"/>
                <w:szCs w:val="41"/>
              </w:rPr>
              <w:t xml:space="preserve">72</w:t>
            </w:r>
          </w:p>
          <w:p>
            <w:pPr>
              <w:spacing w:after="200"/>
            </w:pPr>
            <w:r>
              <w:rPr>
                <w:rFonts w:ascii="Calibri" w:cs="Calibri" w:eastAsia="Calibri" w:hAnsi="Calibri"/>
                <w:b/>
                <w:bCs/>
                <w:color w:val="8A7D70"/>
                <w:spacing w:val="8"/>
                <w:sz w:val="13"/>
                <w:szCs w:val="13"/>
              </w:rPr>
              <w:t xml:space="preserve">NPS (FROM 54)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7A2E3A"/>
                <w:sz w:val="41"/>
                <w:szCs w:val="41"/>
              </w:rPr>
              <w:t xml:space="preserve">$4.2M</w:t>
            </w:r>
          </w:p>
          <w:p>
            <w:pPr>
              <w:spacing w:after="200"/>
            </w:pPr>
            <w:r>
              <w:rPr>
                <w:rFonts w:ascii="Calibri" w:cs="Calibri" w:eastAsia="Calibri" w:hAnsi="Calibri"/>
                <w:b/>
                <w:bCs/>
                <w:color w:val="8A7D70"/>
                <w:spacing w:val="8"/>
                <w:sz w:val="13"/>
                <w:szCs w:val="13"/>
              </w:rPr>
              <w:t xml:space="preserve">BOOK OF BUSINESS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7A2E3A"/>
                <w:sz w:val="41"/>
                <w:szCs w:val="41"/>
              </w:rPr>
              <w:t xml:space="preserve">96%</w:t>
            </w:r>
          </w:p>
          <w:p>
            <w:pPr>
              <w:spacing w:after="200"/>
            </w:pPr>
            <w:r>
              <w:rPr>
                <w:rFonts w:ascii="Calibri" w:cs="Calibri" w:eastAsia="Calibri" w:hAnsi="Calibri"/>
                <w:b/>
                <w:bCs/>
                <w:color w:val="8A7D70"/>
                <w:spacing w:val="8"/>
                <w:sz w:val="13"/>
                <w:szCs w:val="13"/>
              </w:rPr>
              <w:t xml:space="preserve">RENEWAL RATE</w:t>
            </w:r>
          </w:p>
          <w:p>
            <w:pPr>
              <w:pBdr>
                <w:bottom w:val="single" w:color="E2D3C0" w:sz="6" w:space="4"/>
              </w:pBdr>
              <w:spacing w:after="200" w:before="4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A9803F"/>
                <w:spacing w:val="16"/>
                <w:sz w:val="17"/>
                <w:szCs w:val="17"/>
              </w:rPr>
              <w:t xml:space="preserve">COMPETENCIES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t xml:space="preserve">Onboarding &amp; Adoption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Renewals &amp; Expansion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Quarterly Business Reviews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Churn Mitigation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Voice of Customer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Stakeholder Alignment</w:t>
            </w:r>
          </w:p>
          <w:p>
            <w:pP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color w:val="A9803F"/>
                <w:spacing w:val="16"/>
                <w:sz w:val="17"/>
                <w:szCs w:val="17"/>
              </w:rPr>
              <w:t xml:space="preserve">PLATFORMS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t xml:space="preserve">Gainsight · Salesforce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HubSpot · Catalyst · Looker</w:t>
            </w:r>
          </w:p>
          <w:p>
            <w:pP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color w:val="A9803F"/>
                <w:spacing w:val="16"/>
                <w:sz w:val="17"/>
                <w:szCs w:val="17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t xml:space="preserve">Certified CSM — SuccessCOACHING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Gainsight Associate Admin</w:t>
            </w:r>
          </w:p>
          <w:p>
            <w:pP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color w:val="A9803F"/>
                <w:spacing w:val="16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t xml:space="preserve">B.A. Business Administration</w:t>
            </w:r>
            <w:r>
              <w:rPr>
                <w:rFonts w:ascii="Calibri" w:cs="Calibri" w:eastAsia="Calibri" w:hAnsi="Calibri"/>
                <w:color w:val="3C352F"/>
                <w:sz w:val="18"/>
                <w:szCs w:val="18"/>
              </w:rPr>
              <w:br/>
              <w:t xml:space="preserve">Boston University · 2014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460" w:right="460" w:bottom="460" w:left="4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35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m9ga_e5pfhockqb_fhbt" Type="http://schemas.openxmlformats.org/officeDocument/2006/relationships/hyperlink" Target="mailto:daniel.okafo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2026-06-17T20:21:27.479Z</dcterms:created>
  <dcterms:modified xsi:type="dcterms:W3CDTF">2026-06-17T20:21:27.479Z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