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4640"/>
      </w:tblGrid>
      <w:tr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93B" w:color="auto" w:val="clear"/>
            <w:tcMar>
              <w:top w:type="dxa" w:w="210"/>
              <w:left w:type="dxa" w:w="600"/>
              <w:bottom w:type="dxa" w:w="210"/>
              <w:right w:type="dxa" w:w="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7DD3E8"/>
                <w:spacing w:val="24"/>
                <w:sz w:val="17"/>
                <w:szCs w:val="17"/>
              </w:rPr>
              <w:t xml:space="preserve">SUPPORT TICKET · TS-2024 · TIER 2</w:t>
            </w:r>
          </w:p>
        </w:tc>
        <w:tc>
          <w:tcPr>
            <w:tcW w:type="dxa" w:w="4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93B" w:color="auto" w:val="clear"/>
            <w:tcMar>
              <w:top w:type="dxa" w:w="210"/>
              <w:left w:type="dxa" w:w="40"/>
              <w:bottom w:type="dxa" w:w="210"/>
              <w:right w:type="dxa" w:w="6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5FE0C0"/>
                <w:spacing w:val="12"/>
                <w:sz w:val="15"/>
                <w:szCs w:val="15"/>
                <w:shd w:fill="0F3A3F" w:color="auto" w:val="clear"/>
              </w:rPr>
              <w:t xml:space="preserve">  ● RESOLVED  </w:t>
            </w:r>
          </w:p>
        </w:tc>
      </w:tr>
    </w:tbl>
    <w:tbl>
      <w:tblPr>
        <w:tblW w:type="dxa" w:w="12240"/>
        <w:tblBorders>
          <w:top w:val="none"/>
          <w:left w:val="none"/>
          <w:bottom w:val="single" w:color="0891B2" w:sz="18"/>
          <w:right w:val="none"/>
          <w:insideH w:val="none"/>
          <w:insideV w:val="none"/>
        </w:tblBorders>
        <w:tblLayout w:type="fixed"/>
      </w:tblPr>
      <w:tblGrid>
        <w:gridCol w:w="7600"/>
        <w:gridCol w:w="4640"/>
      </w:tblGrid>
      <w:tr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0"/>
              <w:left w:type="dxa" w:w="600"/>
              <w:bottom w:type="dxa" w:w="240"/>
              <w:right w:type="dxa" w:w="40"/>
            </w:tcMar>
            <w:vAlign w:val="bottom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0E2433"/>
                <w:sz w:val="50"/>
                <w:szCs w:val="50"/>
              </w:rPr>
              <w:t xml:space="preserve">Priya Nair</w:t>
            </w:r>
          </w:p>
          <w:p>
            <w:r>
              <w:rPr>
                <w:rFonts w:ascii="Calibri" w:cs="Calibri" w:eastAsia="Calibri" w:hAnsi="Calibri"/>
                <w:b/>
                <w:bCs/>
                <w:color w:val="0891B2"/>
                <w:spacing w:val="20"/>
                <w:sz w:val="18"/>
                <w:szCs w:val="18"/>
              </w:rPr>
              <w:t xml:space="preserve">TECHNICAL SUPPORT SPECIALIST</w:t>
            </w:r>
          </w:p>
        </w:tc>
        <w:tc>
          <w:tcPr>
            <w:tcW w:type="dxa" w:w="4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0"/>
              <w:left w:type="dxa" w:w="40"/>
              <w:bottom w:type="dxa" w:w="260"/>
              <w:right w:type="dxa" w:w="60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A6B7A"/>
                <w:sz w:val="17"/>
                <w:szCs w:val="17"/>
              </w:rPr>
              <w:t xml:space="preserve">Austin, TX</w:t>
            </w:r>
            <w:r>
              <w:rPr>
                <w:rFonts w:ascii="Calibri" w:cs="Calibri" w:eastAsia="Calibri" w:hAnsi="Calibri"/>
                <w:color w:val="5A6B7A"/>
                <w:sz w:val="17"/>
                <w:szCs w:val="17"/>
              </w:rPr>
              <w:br/>
              <w:t xml:space="preserve">(512) 555-0166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byjshu0fbmrzceyl-rurh">
              <w:r>
                <w:rPr>
                  <w:rFonts w:ascii="Calibri" w:cs="Calibri" w:eastAsia="Calibri" w:hAnsi="Calibri"/>
                  <w:color w:val="0891B2"/>
                  <w:sz w:val="17"/>
                  <w:szCs w:val="17"/>
                  <w:u w:val="single"/>
                </w:rPr>
                <w:t xml:space="preserve">priya.nair@email.com</w:t>
              </w:r>
            </w:hyperlink>
            <w:r>
              <w:rPr>
                <w:rFonts w:ascii="Calibri" w:cs="Calibri" w:eastAsia="Calibri" w:hAnsi="Calibri"/>
                <w:color w:val="5A6B7A"/>
                <w:sz w:val="17"/>
                <w:szCs w:val="17"/>
              </w:rPr>
              <w:br/>
              <w:t xml:space="preserve">in/priyanair-it</w:t>
            </w:r>
          </w:p>
        </w:tc>
      </w:tr>
    </w:tbl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930"/>
        <w:gridCol w:w="8310"/>
      </w:tblGrid>
      <w:tr>
        <w:trPr>
          <w:trHeight w:val="12700" w:hRule="atLeast"/>
        </w:trPr>
        <w:tc>
          <w:tcPr>
            <w:tcW w:type="dxa" w:w="39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F5F9" w:color="auto" w:val="clear"/>
            <w:tcMar>
              <w:top w:type="dxa" w:w="520"/>
              <w:left w:type="dxa" w:w="440"/>
              <w:bottom w:type="dxa" w:w="520"/>
              <w:right w:type="dxa" w:w="380"/>
            </w:tcMar>
            <w:vAlign w:val="top"/>
          </w:tcPr>
          <w:p>
            <w:pPr>
              <w:spacing w:after="110" w:before="0"/>
            </w:pPr>
            <w:r>
              <w:rPr>
                <w:rFonts w:ascii="Calibri" w:cs="Calibri" w:eastAsia="Calibri" w:hAnsi="Calibri"/>
                <w:b/>
                <w:bCs/>
                <w:color w:val="0891B2"/>
                <w:spacing w:val="16"/>
                <w:sz w:val="17"/>
                <w:szCs w:val="17"/>
              </w:rPr>
              <w:t xml:space="preserve">SYSTEMS SUPPORTED</w:t>
            </w:r>
          </w:p>
          <w:p>
            <w:pPr>
              <w:spacing w:after="170" w:line="300" w:lineRule="auto"/>
            </w:pPr>
            <w:r>
              <w:rPr>
                <w:rFonts w:ascii="Calibri" w:cs="Calibri" w:eastAsia="Calibri" w:hAnsi="Calibri"/>
                <w:color w:val="33485A"/>
                <w:sz w:val="17"/>
                <w:szCs w:val="17"/>
                <w:shd w:fill="FFFFFF" w:color="auto" w:val="clear"/>
              </w:rPr>
              <w:t xml:space="preserve">  Windows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33485A"/>
                <w:sz w:val="17"/>
                <w:szCs w:val="17"/>
                <w:shd w:fill="FFFFFF" w:color="auto" w:val="clear"/>
              </w:rPr>
              <w:t xml:space="preserve">  macOS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33485A"/>
                <w:sz w:val="17"/>
                <w:szCs w:val="17"/>
                <w:shd w:fill="FFFFFF" w:color="auto" w:val="clear"/>
              </w:rPr>
              <w:t xml:space="preserve">  iOS / Android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33485A"/>
                <w:sz w:val="17"/>
                <w:szCs w:val="17"/>
                <w:shd w:fill="FFFFFF" w:color="auto" w:val="clear"/>
              </w:rPr>
              <w:t xml:space="preserve">  Active Directory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33485A"/>
                <w:sz w:val="17"/>
                <w:szCs w:val="17"/>
                <w:shd w:fill="FFFFFF" w:color="auto" w:val="clear"/>
              </w:rPr>
              <w:t xml:space="preserve">  Office 365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33485A"/>
                <w:sz w:val="17"/>
                <w:szCs w:val="17"/>
                <w:shd w:fill="FFFFFF" w:color="auto" w:val="clear"/>
              </w:rPr>
              <w:t xml:space="preserve">  VPN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33485A"/>
                <w:sz w:val="17"/>
                <w:szCs w:val="17"/>
                <w:shd w:fill="FFFFFF" w:color="auto" w:val="clear"/>
              </w:rPr>
              <w:t xml:space="preserve">  SSO / Okta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33485A"/>
                <w:sz w:val="17"/>
                <w:szCs w:val="17"/>
                <w:shd w:fill="FFFFFF" w:color="auto" w:val="clear"/>
              </w:rPr>
              <w:t xml:space="preserve">  Networking  </w:t>
            </w:r>
          </w:p>
          <w:p>
            <w:pPr>
              <w:spacing w:after="90" w:before="230"/>
            </w:pPr>
            <w:r>
              <w:rPr>
                <w:rFonts w:ascii="Calibri" w:cs="Calibri" w:eastAsia="Calibri" w:hAnsi="Calibri"/>
                <w:b/>
                <w:bCs/>
                <w:color w:val="0891B2"/>
                <w:spacing w:val="16"/>
                <w:sz w:val="17"/>
                <w:szCs w:val="17"/>
              </w:rPr>
              <w:t xml:space="preserve">TICKETING &amp; TOOLS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3485A"/>
                <w:sz w:val="19"/>
                <w:szCs w:val="19"/>
              </w:rPr>
              <w:t xml:space="preserve">ServiceNow · Zendesk · Jira</w:t>
            </w:r>
            <w:r>
              <w:rPr>
                <w:rFonts w:ascii="Calibri" w:cs="Calibri" w:eastAsia="Calibri" w:hAnsi="Calibri"/>
                <w:color w:val="33485A"/>
                <w:sz w:val="19"/>
                <w:szCs w:val="19"/>
              </w:rPr>
              <w:br/>
              <w:t xml:space="preserve">Salesforce · Intercom · Slack</w:t>
            </w:r>
          </w:p>
          <w:p>
            <w:pPr>
              <w:spacing w:after="90" w:before="230"/>
            </w:pPr>
            <w:r>
              <w:rPr>
                <w:rFonts w:ascii="Calibri" w:cs="Calibri" w:eastAsia="Calibri" w:hAnsi="Calibri"/>
                <w:b/>
                <w:bCs/>
                <w:color w:val="0891B2"/>
                <w:spacing w:val="16"/>
                <w:sz w:val="17"/>
                <w:szCs w:val="17"/>
              </w:rPr>
              <w:t xml:space="preserve">SUPPORT 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3485A"/>
                <w:sz w:val="19"/>
                <w:szCs w:val="19"/>
              </w:rPr>
              <w:t xml:space="preserve">Troubleshooting &amp; Triage</w:t>
            </w:r>
            <w:r>
              <w:rPr>
                <w:rFonts w:ascii="Calibri" w:cs="Calibri" w:eastAsia="Calibri" w:hAnsi="Calibri"/>
                <w:color w:val="33485A"/>
                <w:sz w:val="19"/>
                <w:szCs w:val="19"/>
              </w:rPr>
              <w:br/>
              <w:t xml:space="preserve">Root-Cause Analysis</w:t>
            </w:r>
            <w:r>
              <w:rPr>
                <w:rFonts w:ascii="Calibri" w:cs="Calibri" w:eastAsia="Calibri" w:hAnsi="Calibri"/>
                <w:color w:val="33485A"/>
                <w:sz w:val="19"/>
                <w:szCs w:val="19"/>
              </w:rPr>
              <w:br/>
              <w:t xml:space="preserve">Escalation Management</w:t>
            </w:r>
            <w:r>
              <w:rPr>
                <w:rFonts w:ascii="Calibri" w:cs="Calibri" w:eastAsia="Calibri" w:hAnsi="Calibri"/>
                <w:color w:val="33485A"/>
                <w:sz w:val="19"/>
                <w:szCs w:val="19"/>
              </w:rPr>
              <w:br/>
              <w:t xml:space="preserve">Knowledge-Base Authoring</w:t>
            </w:r>
            <w:r>
              <w:rPr>
                <w:rFonts w:ascii="Calibri" w:cs="Calibri" w:eastAsia="Calibri" w:hAnsi="Calibri"/>
                <w:color w:val="33485A"/>
                <w:sz w:val="19"/>
                <w:szCs w:val="19"/>
              </w:rPr>
              <w:br/>
              <w:t xml:space="preserve">SLA Adherence</w:t>
            </w:r>
          </w:p>
          <w:p>
            <w:pPr>
              <w:spacing w:after="90" w:before="230"/>
            </w:pPr>
            <w:r>
              <w:rPr>
                <w:rFonts w:ascii="Calibri" w:cs="Calibri" w:eastAsia="Calibri" w:hAnsi="Calibri"/>
                <w:b/>
                <w:bCs/>
                <w:color w:val="0891B2"/>
                <w:spacing w:val="16"/>
                <w:sz w:val="17"/>
                <w:szCs w:val="17"/>
              </w:rPr>
              <w:t xml:space="preserve">CERTIFICATIONS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3485A"/>
                <w:sz w:val="19"/>
                <w:szCs w:val="19"/>
              </w:rPr>
              <w:t xml:space="preserve">ITIL 4 Foundation</w:t>
            </w:r>
            <w:r>
              <w:rPr>
                <w:rFonts w:ascii="Calibri" w:cs="Calibri" w:eastAsia="Calibri" w:hAnsi="Calibri"/>
                <w:color w:val="33485A"/>
                <w:sz w:val="19"/>
                <w:szCs w:val="19"/>
              </w:rPr>
              <w:br/>
              <w:t xml:space="preserve">CompTIA A+</w:t>
            </w:r>
            <w:r>
              <w:rPr>
                <w:rFonts w:ascii="Calibri" w:cs="Calibri" w:eastAsia="Calibri" w:hAnsi="Calibri"/>
                <w:color w:val="33485A"/>
                <w:sz w:val="19"/>
                <w:szCs w:val="19"/>
              </w:rPr>
              <w:br/>
              <w:t xml:space="preserve">HDI Support Center Analyst</w:t>
            </w:r>
          </w:p>
          <w:p>
            <w:pPr>
              <w:spacing w:after="90" w:before="230"/>
            </w:pPr>
            <w:r>
              <w:rPr>
                <w:rFonts w:ascii="Calibri" w:cs="Calibri" w:eastAsia="Calibri" w:hAnsi="Calibri"/>
                <w:b/>
                <w:bCs/>
                <w:color w:val="0891B2"/>
                <w:spacing w:val="16"/>
                <w:sz w:val="17"/>
                <w:szCs w:val="17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3485A"/>
                <w:sz w:val="19"/>
                <w:szCs w:val="19"/>
              </w:rPr>
              <w:t xml:space="preserve">B.S. Information Technology</w:t>
            </w:r>
            <w:r>
              <w:rPr>
                <w:rFonts w:ascii="Calibri" w:cs="Calibri" w:eastAsia="Calibri" w:hAnsi="Calibri"/>
                <w:color w:val="33485A"/>
                <w:sz w:val="19"/>
                <w:szCs w:val="19"/>
              </w:rPr>
              <w:br/>
              <w:t xml:space="preserve">UT Austin · 2016</w:t>
            </w:r>
          </w:p>
        </w:tc>
        <w:tc>
          <w:tcPr>
            <w:tcW w:type="dxa" w:w="83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0"/>
              <w:left w:type="dxa" w:w="560"/>
              <w:bottom w:type="dxa" w:w="520"/>
              <w:right w:type="dxa" w:w="560"/>
            </w:tcMar>
            <w:vAlign w:val="top"/>
          </w:tcPr>
          <w:tbl>
            <w:tblPr>
              <w:tblW w:type="dxa" w:w="719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707"/>
              <w:gridCol w:w="120"/>
              <w:gridCol w:w="1707"/>
              <w:gridCol w:w="120"/>
              <w:gridCol w:w="1707"/>
              <w:gridCol w:w="120"/>
              <w:gridCol w:w="1707"/>
            </w:tblGrid>
            <w:tr>
              <w:tc>
                <w:tcPr>
                  <w:tcW w:type="dxa" w:w="1707"/>
                  <w:tcBorders>
                    <w:top w:val="single" w:color="CDEFF4" w:sz="3"/>
                    <w:left w:val="single" w:color="CDEFF4" w:sz="3"/>
                    <w:bottom w:val="single" w:color="CDEFF4" w:sz="3"/>
                    <w:right w:val="single" w:color="CDEFF4" w:sz="3"/>
                  </w:tcBorders>
                  <w:shd w:fill="ECFEFF" w:color="auto" w:val="clear"/>
                  <w:tcMar>
                    <w:top w:type="dxa" w:w="140"/>
                    <w:left w:type="dxa" w:w="30"/>
                    <w:bottom w:type="dxa" w:w="140"/>
                    <w:right w:type="dxa" w:w="30"/>
                  </w:tcMar>
                  <w:vAlign w:val="center"/>
                </w:tcPr>
                <w:p>
                  <w:pPr>
                    <w:spacing w:after="1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891B2"/>
                      <w:sz w:val="24"/>
                      <w:szCs w:val="24"/>
                    </w:rPr>
                    <w:t xml:space="preserve">94%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5A6B7A"/>
                      <w:spacing w:val="4"/>
                      <w:sz w:val="11"/>
                      <w:szCs w:val="11"/>
                    </w:rPr>
                    <w:t xml:space="preserve">CSAT</w:t>
                  </w:r>
                </w:p>
              </w:tc>
              <w:tc>
                <w:tcPr>
                  <w:tcW w:type="dxa" w:w="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707"/>
                  <w:tcBorders>
                    <w:top w:val="single" w:color="CDEFF4" w:sz="3"/>
                    <w:left w:val="single" w:color="CDEFF4" w:sz="3"/>
                    <w:bottom w:val="single" w:color="CDEFF4" w:sz="3"/>
                    <w:right w:val="single" w:color="CDEFF4" w:sz="3"/>
                  </w:tcBorders>
                  <w:shd w:fill="ECFEFF" w:color="auto" w:val="clear"/>
                  <w:tcMar>
                    <w:top w:type="dxa" w:w="140"/>
                    <w:left w:type="dxa" w:w="30"/>
                    <w:bottom w:type="dxa" w:w="140"/>
                    <w:right w:type="dxa" w:w="30"/>
                  </w:tcMar>
                  <w:vAlign w:val="center"/>
                </w:tcPr>
                <w:p>
                  <w:pPr>
                    <w:spacing w:after="1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891B2"/>
                      <w:sz w:val="24"/>
                      <w:szCs w:val="24"/>
                    </w:rPr>
                    <w:t xml:space="preserve">90%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5A6B7A"/>
                      <w:spacing w:val="4"/>
                      <w:sz w:val="11"/>
                      <w:szCs w:val="11"/>
                    </w:rPr>
                    <w:t xml:space="preserve">SLA MET</w:t>
                  </w:r>
                </w:p>
              </w:tc>
              <w:tc>
                <w:tcPr>
                  <w:tcW w:type="dxa" w:w="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707"/>
                  <w:tcBorders>
                    <w:top w:val="single" w:color="CDEFF4" w:sz="3"/>
                    <w:left w:val="single" w:color="CDEFF4" w:sz="3"/>
                    <w:bottom w:val="single" w:color="CDEFF4" w:sz="3"/>
                    <w:right w:val="single" w:color="CDEFF4" w:sz="3"/>
                  </w:tcBorders>
                  <w:shd w:fill="ECFEFF" w:color="auto" w:val="clear"/>
                  <w:tcMar>
                    <w:top w:type="dxa" w:w="140"/>
                    <w:left w:type="dxa" w:w="30"/>
                    <w:bottom w:type="dxa" w:w="140"/>
                    <w:right w:type="dxa" w:w="30"/>
                  </w:tcMar>
                  <w:vAlign w:val="center"/>
                </w:tcPr>
                <w:p>
                  <w:pPr>
                    <w:spacing w:after="1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891B2"/>
                      <w:sz w:val="24"/>
                      <w:szCs w:val="24"/>
                    </w:rPr>
                    <w:t xml:space="preserve">-35%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5A6B7A"/>
                      <w:spacing w:val="4"/>
                      <w:sz w:val="11"/>
                      <w:szCs w:val="11"/>
                    </w:rPr>
                    <w:t xml:space="preserve">MTTR</w:t>
                  </w:r>
                </w:p>
              </w:tc>
              <w:tc>
                <w:tcPr>
                  <w:tcW w:type="dxa" w:w="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707"/>
                  <w:tcBorders>
                    <w:top w:val="single" w:color="CDEFF4" w:sz="3"/>
                    <w:left w:val="single" w:color="CDEFF4" w:sz="3"/>
                    <w:bottom w:val="single" w:color="CDEFF4" w:sz="3"/>
                    <w:right w:val="single" w:color="CDEFF4" w:sz="3"/>
                  </w:tcBorders>
                  <w:shd w:fill="ECFEFF" w:color="auto" w:val="clear"/>
                  <w:tcMar>
                    <w:top w:type="dxa" w:w="140"/>
                    <w:left w:type="dxa" w:w="30"/>
                    <w:bottom w:type="dxa" w:w="140"/>
                    <w:right w:type="dxa" w:w="30"/>
                  </w:tcMar>
                  <w:vAlign w:val="center"/>
                </w:tcPr>
                <w:p>
                  <w:pPr>
                    <w:spacing w:after="1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891B2"/>
                      <w:sz w:val="24"/>
                      <w:szCs w:val="24"/>
                    </w:rPr>
                    <w:t xml:space="preserve">50+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5A6B7A"/>
                      <w:spacing w:val="4"/>
                      <w:sz w:val="11"/>
                      <w:szCs w:val="11"/>
                    </w:rPr>
                    <w:t xml:space="preserve">TICKETS/DAY</w:t>
                  </w:r>
                </w:p>
              </w:tc>
            </w:tr>
          </w:tbl>
          <w:p>
            <w:pPr>
              <w:spacing w:after="180" w:before="260"/>
            </w:pPr>
            <w:r>
              <w:rPr>
                <w:rFonts w:ascii="Calibri" w:cs="Calibri" w:eastAsia="Calibri" w:hAnsi="Calibri"/>
                <w:color w:val="384455"/>
                <w:sz w:val="19"/>
                <w:szCs w:val="19"/>
              </w:rPr>
              <w:t xml:space="preserve">Tier 2 technical support specialist with 8 years resolving escalated hardware, software, and network issues. I diagnose fast, document clearly, and mentor Tier 1 — keeping CSAT high and SLAs met across ServiceNow and Zendesk.</w:t>
            </w:r>
          </w:p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0891B2"/>
                <w:spacing w:val="18"/>
                <w:sz w:val="19"/>
                <w:szCs w:val="19"/>
              </w:rPr>
              <w:t xml:space="preserve">EXPERIENCE</w:t>
            </w:r>
          </w:p>
          <w:tbl>
            <w:tblPr>
              <w:tblW w:type="dxa" w:w="719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490"/>
              <w:gridCol w:w="1700"/>
            </w:tblGrid>
            <w:tr>
              <w:tc>
                <w:tcPr>
                  <w:tcW w:type="dxa" w:w="54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E2433"/>
                      <w:sz w:val="20"/>
                      <w:szCs w:val="20"/>
                    </w:rPr>
                    <w:t xml:space="preserve">Technical Support Specialist, Tier 2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3B2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891B2"/>
                <w:sz w:val="18"/>
                <w:szCs w:val="18"/>
              </w:rPr>
              <w:t xml:space="preserve">Dell Technologies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455"/>
                <w:sz w:val="19"/>
                <w:szCs w:val="19"/>
              </w:rPr>
              <w:t xml:space="preserve">Resolve 50+ escalated tickets daily in ServiceNow, holding a 94% CSAT and 90% SLA compliance.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455"/>
                <w:sz w:val="19"/>
                <w:szCs w:val="19"/>
              </w:rPr>
              <w:t xml:space="preserve">Cut mean time-to-resolution 35% by authoring 40+ knowledge-base articles.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455"/>
                <w:sz w:val="19"/>
                <w:szCs w:val="19"/>
              </w:rPr>
              <w:t xml:space="preserve">Mentor 6 Tier 1 agents on troubleshooting and escalation, lifting team FCR to 89%.</w:t>
            </w:r>
          </w:p>
          <w:p>
            <w:pPr>
              <w:spacing w:after="110"/>
            </w:pPr>
          </w:p>
          <w:tbl>
            <w:tblPr>
              <w:tblW w:type="dxa" w:w="719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490"/>
              <w:gridCol w:w="1700"/>
            </w:tblGrid>
            <w:tr>
              <w:tc>
                <w:tcPr>
                  <w:tcW w:type="dxa" w:w="54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E2433"/>
                      <w:sz w:val="20"/>
                      <w:szCs w:val="20"/>
                    </w:rPr>
                    <w:t xml:space="preserve">Technical Support Representative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3B2"/>
                      <w:sz w:val="17"/>
                      <w:szCs w:val="17"/>
                    </w:rPr>
                    <w:t xml:space="preserve">2018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891B2"/>
                <w:sz w:val="18"/>
                <w:szCs w:val="18"/>
              </w:rPr>
              <w:t xml:space="preserve">Atlassian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455"/>
                <w:sz w:val="19"/>
                <w:szCs w:val="19"/>
              </w:rPr>
              <w:t xml:space="preserve">Supported Jira and Confluence for 1,000+ monthly contacts via chat, email, and phone in Zendesk.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455"/>
                <w:sz w:val="19"/>
                <w:szCs w:val="19"/>
              </w:rPr>
              <w:t xml:space="preserve">Diagnosed network, SSO, and integration issues with a 92% first-contact resolution.</w:t>
            </w:r>
          </w:p>
          <w:p>
            <w:pPr>
              <w:spacing w:after="110"/>
            </w:pPr>
          </w:p>
          <w:tbl>
            <w:tblPr>
              <w:tblW w:type="dxa" w:w="719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490"/>
              <w:gridCol w:w="1700"/>
            </w:tblGrid>
            <w:tr>
              <w:tc>
                <w:tcPr>
                  <w:tcW w:type="dxa" w:w="54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E2433"/>
                      <w:sz w:val="20"/>
                      <w:szCs w:val="20"/>
                    </w:rPr>
                    <w:t xml:space="preserve">IT Help Desk Analyst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3B2"/>
                      <w:sz w:val="17"/>
                      <w:szCs w:val="17"/>
                    </w:rPr>
                    <w:t xml:space="preserve">2016 – 2018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891B2"/>
                <w:sz w:val="18"/>
                <w:szCs w:val="18"/>
              </w:rPr>
              <w:t xml:space="preserve">Rackspace — San Antonio,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455"/>
                <w:sz w:val="19"/>
                <w:szCs w:val="19"/>
              </w:rPr>
              <w:t xml:space="preserve">Handled 35+ daily tickets for VPN, email, and account access, maintaining a 96% QA score.</w:t>
            </w:r>
          </w:p>
          <w:p>
            <w:pPr>
              <w:spacing w:after="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4455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byjshu0fbmrzceyl-rurh" Type="http://schemas.openxmlformats.org/officeDocument/2006/relationships/hyperlink" Target="mailto:priya.nai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2026-06-17T20:21:27.494Z</dcterms:created>
  <dcterms:modified xsi:type="dcterms:W3CDTF">2026-06-17T20:21:27.494Z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