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720"/>
        <w:gridCol w:w="8520"/>
      </w:tblGrid>
      <w:tr>
        <w:trPr>
          <w:trHeight w:val="14600" w:hRule="atLeast"/>
        </w:trPr>
        <w:tc>
          <w:tcPr>
            <w:tcW w:type="dxa" w:w="3720"/>
            <w:tcBorders>
              <w:top w:val="none"/>
              <w:left w:val="none"/>
              <w:bottom w:val="none"/>
              <w:right w:val="single" w:color="CDE8E2" w:sz="6"/>
            </w:tcBorders>
            <w:shd w:fill="E6F5F2" w:color="auto" w:val="clear"/>
            <w:tcMar>
              <w:top w:type="dxa" w:w="560"/>
              <w:left w:type="dxa" w:w="380"/>
              <w:bottom w:type="dxa" w:w="520"/>
              <w:right w:type="dxa" w:w="340"/>
            </w:tcMar>
            <w:vAlign w:val="top"/>
          </w:tcPr>
          <w:p>
            <w:r>
              <w:rPr>
                <w:rFonts w:ascii="Trebuchet MS" w:cs="Trebuchet MS" w:eastAsia="Trebuchet MS" w:hAnsi="Trebuchet MS"/>
                <w:b/>
                <w:bCs/>
                <w:color w:val="123F3B"/>
                <w:sz w:val="45"/>
                <w:szCs w:val="45"/>
              </w:rPr>
              <w:t xml:space="preserve">Olivia Brooks</w:t>
            </w:r>
          </w:p>
          <w:p>
            <w:pPr>
              <w:spacing w:before="90"/>
            </w:pPr>
            <w:r>
              <w:rPr>
                <w:rFonts w:ascii="Consolas" w:cs="Consolas" w:eastAsia="Consolas" w:hAnsi="Consolas"/>
                <w:color w:val="0E8C84"/>
                <w:spacing w:val="4"/>
                <w:sz w:val="16"/>
                <w:szCs w:val="16"/>
              </w:rPr>
              <w:t xml:space="preserve">AppSec Engineer</w:t>
            </w:r>
          </w:p>
          <w:p>
            <w:pPr>
              <w:pBdr>
                <w:bottom w:val="single" w:color="C6E4DD" w:sz="6"/>
              </w:pBdr>
              <w:spacing w:after="0" w:before="200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spacing w:after="130" w:before="220"/>
            </w:pPr>
            <w:r>
              <w:rPr>
                <w:rFonts w:ascii="Trebuchet MS" w:cs="Trebuchet MS" w:eastAsia="Trebuchet MS" w:hAnsi="Trebuchet MS"/>
                <w:b/>
                <w:bCs/>
                <w:color w:val="0E8C84"/>
                <w:spacing w:val="14"/>
                <w:sz w:val="15"/>
                <w:szCs w:val="15"/>
              </w:rPr>
              <w:t xml:space="preserve">CONTACT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494459"/>
                <w:sz w:val="17"/>
                <w:szCs w:val="17"/>
              </w:rPr>
              <w:t xml:space="preserve">Boston, MA</w:t>
            </w:r>
            <w:r>
              <w:rPr>
                <w:rFonts w:ascii="Calibri" w:cs="Calibri" w:eastAsia="Calibri" w:hAnsi="Calibri"/>
                <w:color w:val="494459"/>
                <w:sz w:val="17"/>
                <w:szCs w:val="17"/>
              </w:rPr>
              <w:br/>
              <w:t xml:space="preserve">(617)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f1hwb81x1mnnnpfrrezo4">
              <w:r>
                <w:rPr>
                  <w:rFonts w:ascii="Calibri" w:cs="Calibri" w:eastAsia="Calibri" w:hAnsi="Calibri"/>
                  <w:color w:val="0E8C84"/>
                  <w:sz w:val="17"/>
                  <w:szCs w:val="17"/>
                </w:rPr>
                <w:t xml:space="preserve">olivia.brooks@email.com</w:t>
              </w:r>
            </w:hyperlink>
            <w:r>
              <w:rPr>
                <w:rFonts w:ascii="Calibri" w:cs="Calibri" w:eastAsia="Calibri" w:hAnsi="Calibri"/>
                <w:color w:val="494459"/>
                <w:sz w:val="17"/>
                <w:szCs w:val="17"/>
              </w:rPr>
              <w:br/>
              <w:t xml:space="preserve">in/oliviabrooks</w:t>
            </w:r>
          </w:p>
          <w:p>
            <w:pPr>
              <w:spacing w:after="130" w:before="240"/>
            </w:pPr>
            <w:r>
              <w:rPr>
                <w:rFonts w:ascii="Trebuchet MS" w:cs="Trebuchet MS" w:eastAsia="Trebuchet MS" w:hAnsi="Trebuchet MS"/>
                <w:b/>
                <w:bCs/>
                <w:color w:val="0E8C84"/>
                <w:spacing w:val="14"/>
                <w:sz w:val="15"/>
                <w:szCs w:val="15"/>
              </w:rPr>
              <w:t xml:space="preserve">CERTIFICATIONS</w:t>
            </w:r>
          </w:p>
          <w:tbl>
            <w:tblPr>
              <w:tblW w:type="dxa" w:w="2900"/>
              <w:tblBorders>
                <w:top w:val="single" w:color="CDE8E2" w:sz="4"/>
                <w:left w:val="single" w:color="CDE8E2" w:sz="4"/>
                <w:bottom w:val="single" w:color="CDE8E2" w:sz="4"/>
                <w:right w:val="single" w:color="CDE8E2" w:sz="4"/>
                <w:insideH w:val="none"/>
                <w:insideV w:val="none"/>
              </w:tblBorders>
              <w:tblLayout w:type="fixed"/>
            </w:tblPr>
            <w:tblGrid>
              <w:gridCol w:w="2900"/>
            </w:tblGrid>
            <w:tr>
              <w:tc>
                <w:tcPr>
                  <w:tcW w:type="dxa" w:w="2900"/>
                  <w:tcBorders>
                    <w:top w:val="none"/>
                    <w:left w:val="none"/>
                    <w:bottom w:val="none"/>
                    <w:right w:val="none"/>
                  </w:tcBorders>
                  <w:shd w:fill="FFFFFF" w:color="auto" w:val="clear"/>
                  <w:tcMar>
                    <w:top w:type="dxa" w:w="90"/>
                    <w:left w:type="dxa" w:w="160"/>
                    <w:bottom w:type="dxa" w:w="9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23F3B"/>
                      <w:sz w:val="18"/>
                      <w:szCs w:val="18"/>
                    </w:rPr>
                    <w:t xml:space="preserve">CSSLP</w:t>
                  </w:r>
                </w:p>
                <w:p>
                  <w:r>
                    <w:rPr>
                      <w:rFonts w:ascii="Calibri" w:cs="Calibri" w:eastAsia="Calibri" w:hAnsi="Calibri"/>
                      <w:color w:val="8A83A6"/>
                      <w:sz w:val="15"/>
                      <w:szCs w:val="15"/>
                    </w:rPr>
                    <w:t xml:space="preserve">Secure SW Lifecycle</w:t>
                  </w:r>
                </w:p>
              </w:tc>
            </w:tr>
          </w:tbl>
          <w:p>
            <w:pPr>
              <w:spacing w:after="70"/>
            </w:pPr>
          </w:p>
          <w:tbl>
            <w:tblPr>
              <w:tblW w:type="dxa" w:w="2900"/>
              <w:tblBorders>
                <w:top w:val="single" w:color="CDE8E2" w:sz="4"/>
                <w:left w:val="single" w:color="CDE8E2" w:sz="4"/>
                <w:bottom w:val="single" w:color="CDE8E2" w:sz="4"/>
                <w:right w:val="single" w:color="CDE8E2" w:sz="4"/>
                <w:insideH w:val="none"/>
                <w:insideV w:val="none"/>
              </w:tblBorders>
              <w:tblLayout w:type="fixed"/>
            </w:tblPr>
            <w:tblGrid>
              <w:gridCol w:w="2900"/>
            </w:tblGrid>
            <w:tr>
              <w:tc>
                <w:tcPr>
                  <w:tcW w:type="dxa" w:w="2900"/>
                  <w:tcBorders>
                    <w:top w:val="none"/>
                    <w:left w:val="none"/>
                    <w:bottom w:val="none"/>
                    <w:right w:val="none"/>
                  </w:tcBorders>
                  <w:shd w:fill="FFFFFF" w:color="auto" w:val="clear"/>
                  <w:tcMar>
                    <w:top w:type="dxa" w:w="90"/>
                    <w:left w:type="dxa" w:w="160"/>
                    <w:bottom w:type="dxa" w:w="9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23F3B"/>
                      <w:sz w:val="18"/>
                      <w:szCs w:val="18"/>
                    </w:rPr>
                    <w:t xml:space="preserve">GWAPT · OSWE</w:t>
                  </w:r>
                </w:p>
                <w:p>
                  <w:r>
                    <w:rPr>
                      <w:rFonts w:ascii="Calibri" w:cs="Calibri" w:eastAsia="Calibri" w:hAnsi="Calibri"/>
                      <w:color w:val="8A83A6"/>
                      <w:sz w:val="15"/>
                      <w:szCs w:val="15"/>
                    </w:rPr>
                    <w:t xml:space="preserve">Web App Pentest</w:t>
                  </w:r>
                </w:p>
              </w:tc>
            </w:tr>
          </w:tbl>
          <w:p>
            <w:pPr>
              <w:spacing w:after="130" w:before="240"/>
            </w:pPr>
            <w:r>
              <w:rPr>
                <w:rFonts w:ascii="Trebuchet MS" w:cs="Trebuchet MS" w:eastAsia="Trebuchet MS" w:hAnsi="Trebuchet MS"/>
                <w:b/>
                <w:bCs/>
                <w:color w:val="0E8C84"/>
                <w:spacing w:val="14"/>
                <w:sz w:val="15"/>
                <w:szCs w:val="15"/>
              </w:rPr>
              <w:t xml:space="preserve">CORE SKILLS</w:t>
            </w:r>
          </w:p>
          <w:p>
            <w:pPr>
              <w:spacing w:after="46"/>
            </w:pPr>
            <w:r>
              <w:rPr>
                <w:rFonts w:ascii="Calibri" w:cs="Calibri" w:eastAsia="Calibri" w:hAnsi="Calibri"/>
                <w:color w:val="494459"/>
                <w:sz w:val="17"/>
                <w:szCs w:val="17"/>
              </w:rPr>
              <w:t xml:space="preserve">SAST / DAST / SCA</w:t>
            </w:r>
          </w:p>
          <w:p>
            <w:pPr>
              <w:spacing w:after="46"/>
            </w:pPr>
            <w:r>
              <w:rPr>
                <w:rFonts w:ascii="Calibri" w:cs="Calibri" w:eastAsia="Calibri" w:hAnsi="Calibri"/>
                <w:color w:val="494459"/>
                <w:sz w:val="17"/>
                <w:szCs w:val="17"/>
              </w:rPr>
              <w:t xml:space="preserve">Threat Modeling (STRIDE)</w:t>
            </w:r>
          </w:p>
          <w:p>
            <w:pPr>
              <w:spacing w:after="46"/>
            </w:pPr>
            <w:r>
              <w:rPr>
                <w:rFonts w:ascii="Calibri" w:cs="Calibri" w:eastAsia="Calibri" w:hAnsi="Calibri"/>
                <w:color w:val="494459"/>
                <w:sz w:val="17"/>
                <w:szCs w:val="17"/>
              </w:rPr>
              <w:t xml:space="preserve">Secure Code Review</w:t>
            </w:r>
          </w:p>
          <w:p>
            <w:pPr>
              <w:spacing w:after="46"/>
            </w:pPr>
            <w:r>
              <w:rPr>
                <w:rFonts w:ascii="Calibri" w:cs="Calibri" w:eastAsia="Calibri" w:hAnsi="Calibri"/>
                <w:color w:val="494459"/>
                <w:sz w:val="17"/>
                <w:szCs w:val="17"/>
              </w:rPr>
              <w:t xml:space="preserve">OWASP Top 10 / ASVS</w:t>
            </w:r>
          </w:p>
          <w:p>
            <w:pPr>
              <w:spacing w:after="46"/>
            </w:pPr>
            <w:r>
              <w:rPr>
                <w:rFonts w:ascii="Calibri" w:cs="Calibri" w:eastAsia="Calibri" w:hAnsi="Calibri"/>
                <w:color w:val="494459"/>
                <w:sz w:val="17"/>
                <w:szCs w:val="17"/>
              </w:rPr>
              <w:t xml:space="preserve">API &amp; Cloud Security</w:t>
            </w:r>
          </w:p>
          <w:p>
            <w:pPr>
              <w:spacing w:after="130" w:before="240"/>
            </w:pPr>
            <w:r>
              <w:rPr>
                <w:rFonts w:ascii="Trebuchet MS" w:cs="Trebuchet MS" w:eastAsia="Trebuchet MS" w:hAnsi="Trebuchet MS"/>
                <w:b/>
                <w:bCs/>
                <w:color w:val="0E8C84"/>
                <w:spacing w:val="14"/>
                <w:sz w:val="15"/>
                <w:szCs w:val="15"/>
              </w:rPr>
              <w:t xml:space="preserve">LANGUAGES</w:t>
            </w:r>
          </w:p>
          <w:p>
            <w:pPr>
              <w:spacing w:line="330" w:lineRule="atLeast"/>
            </w:pPr>
            <w:r>
              <w:rPr>
                <w:rFonts w:ascii="Consolas" w:cs="Consolas" w:eastAsia="Consolas" w:hAnsi="Consolas"/>
                <w:color w:val="0B5E58"/>
                <w:sz w:val="16"/>
                <w:szCs w:val="16"/>
                <w:shd w:fill="FFFFFF" w:color="auto" w:val="clear"/>
              </w:rPr>
              <w:t xml:space="preserve"> Java 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rFonts w:ascii="Consolas" w:cs="Consolas" w:eastAsia="Consolas" w:hAnsi="Consolas"/>
                <w:color w:val="0B5E58"/>
                <w:sz w:val="16"/>
                <w:szCs w:val="16"/>
                <w:shd w:fill="FFFFFF" w:color="auto" w:val="clear"/>
              </w:rPr>
              <w:t xml:space="preserve"> Python 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rFonts w:ascii="Consolas" w:cs="Consolas" w:eastAsia="Consolas" w:hAnsi="Consolas"/>
                <w:color w:val="0B5E58"/>
                <w:sz w:val="16"/>
                <w:szCs w:val="16"/>
                <w:shd w:fill="FFFFFF" w:color="auto" w:val="clear"/>
              </w:rPr>
              <w:t xml:space="preserve"> Go 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rFonts w:ascii="Consolas" w:cs="Consolas" w:eastAsia="Consolas" w:hAnsi="Consolas"/>
                <w:color w:val="0B5E58"/>
                <w:sz w:val="16"/>
                <w:szCs w:val="16"/>
                <w:shd w:fill="FFFFFF" w:color="auto" w:val="clear"/>
              </w:rPr>
              <w:t xml:space="preserve"> JS </w:t>
            </w:r>
          </w:p>
          <w:p>
            <w:pPr>
              <w:spacing w:after="130" w:before="240"/>
            </w:pPr>
            <w:r>
              <w:rPr>
                <w:rFonts w:ascii="Trebuchet MS" w:cs="Trebuchet MS" w:eastAsia="Trebuchet MS" w:hAnsi="Trebuchet MS"/>
                <w:b/>
                <w:bCs/>
                <w:color w:val="0E8C84"/>
                <w:spacing w:val="14"/>
                <w:sz w:val="15"/>
                <w:szCs w:val="15"/>
              </w:rPr>
              <w:t xml:space="preserve">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23F3B"/>
                <w:sz w:val="18"/>
                <w:szCs w:val="18"/>
              </w:rPr>
              <w:t xml:space="preserve">B.S., Computer Science</w:t>
            </w:r>
          </w:p>
          <w:p>
            <w:r>
              <w:rPr>
                <w:rFonts w:ascii="Calibri" w:cs="Calibri" w:eastAsia="Calibri" w:hAnsi="Calibri"/>
                <w:color w:val="8A83A6"/>
                <w:sz w:val="17"/>
                <w:szCs w:val="17"/>
              </w:rPr>
              <w:t xml:space="preserve">Northeastern University</w:t>
            </w:r>
          </w:p>
        </w:tc>
        <w:tc>
          <w:tcPr>
            <w:tcW w:type="dxa" w:w="8520"/>
            <w:tcBorders>
              <w:top w:val="none"/>
              <w:left w:val="none"/>
              <w:bottom w:val="none"/>
              <w:right w:val="none"/>
            </w:tcBorders>
            <w:tcMar>
              <w:top w:type="dxa" w:w="560"/>
              <w:left w:type="dxa" w:w="480"/>
              <w:bottom w:type="dxa" w:w="520"/>
              <w:right w:type="dxa" w:w="440"/>
            </w:tcMar>
            <w:vAlign w:val="top"/>
          </w:tcPr>
          <w:p>
            <w:pPr>
              <w:spacing w:after="200"/>
            </w:pPr>
            <w:r>
              <w:rPr>
                <w:rFonts w:ascii="Calibri" w:cs="Calibri" w:eastAsia="Calibri" w:hAnsi="Calibri"/>
                <w:color w:val="3A3647"/>
                <w:sz w:val="20"/>
                <w:szCs w:val="20"/>
              </w:rPr>
              <w:t xml:space="preserve">Application security engineer who bakes security into the build, not the backlog. Eight years embedding AppSec across the SDLC — threat modeling designs, automating SAST/DAST in CI, and coaching developers to fix the root cause. I make secure code the default, not the exception.</w:t>
            </w:r>
          </w:p>
          <w:tbl>
            <w:tblPr>
              <w:tblW w:type="dxa" w:w="7800"/>
              <w:tblInd w:type="dxa" w:w="0"/>
              <w:tblBorders>
                <w:top w:val="single" w:color="E6E3F5" w:sz="4"/>
                <w:left w:val="single" w:color="E6E3F5" w:sz="4"/>
                <w:bottom w:val="single" w:color="E6E3F5" w:sz="4"/>
                <w:right w:val="single" w:color="E6E3F5" w:sz="4"/>
                <w:insideH w:val="none"/>
                <w:insideV w:val="none"/>
              </w:tblBorders>
              <w:tblLayout w:type="fixed"/>
            </w:tblPr>
            <w:tblGrid>
              <w:gridCol w:w="7800"/>
            </w:tblGrid>
            <w:tr>
              <w:tc>
                <w:tcPr>
                  <w:tcW w:type="dxa" w:w="78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60"/>
                    <w:left w:type="dxa" w:w="200"/>
                    <w:bottom w:type="dxa" w:w="160"/>
                    <w:right w:type="dxa" w:w="200"/>
                  </w:tcMar>
                </w:tcPr>
                <w:p>
                  <w:pPr>
                    <w:spacing w:after="130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0E8C84"/>
                      <w:spacing w:val="6"/>
                      <w:sz w:val="14"/>
                      <w:szCs w:val="14"/>
                    </w:rPr>
                    <w:t xml:space="preserve">SECURITY IN THE SDLC</w:t>
                  </w:r>
                </w:p>
                <w:tbl>
                  <w:tblPr>
                    <w:tblW w:type="dxa" w:w="7400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480"/>
                    <w:gridCol w:w="1480"/>
                    <w:gridCol w:w="1480"/>
                    <w:gridCol w:w="1480"/>
                    <w:gridCol w:w="1480"/>
                  </w:tblGrid>
                  <w:tr>
                    <w:tc>
                      <w:tcPr>
                        <w:tcW w:type="dxa" w:w="148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20"/>
                          <w:bottom w:type="dxa" w:w="0"/>
                          <w:right w:type="dxa" w:w="20"/>
                        </w:tcMar>
                        <w:vAlign w:val="top"/>
                      </w:tcPr>
                      <w:p>
                        <w:pPr>
                          <w:shd w:fill="0E8C84" w:color="auto" w:val="clear"/>
                          <w:spacing w:after="0"/>
                          <w:jc w:val="center"/>
                        </w:pPr>
                        <w:r>
                          <w:rPr>
                            <w:rFonts w:ascii="Consolas" w:cs="Consolas" w:eastAsia="Consolas" w:hAnsi="Consolas"/>
                            <w:b/>
                            <w:bCs/>
                            <w:color w:val="FFFFFF"/>
                            <w:sz w:val="15"/>
                            <w:szCs w:val="15"/>
                          </w:rPr>
                          <w:t xml:space="preserve">PLAN</w:t>
                        </w:r>
                      </w:p>
                      <w:p>
                        <w:pPr>
                          <w:shd w:fill="EBF7F4" w:color="auto" w:val="clear"/>
                          <w:spacing w:before="0"/>
                          <w:jc w:val="center"/>
                        </w:pPr>
                        <w:r>
                          <w:rPr>
                            <w:rFonts w:ascii="Calibri" w:cs="Calibri" w:eastAsia="Calibri" w:hAnsi="Calibri"/>
                            <w:color w:val="6A6480"/>
                            <w:sz w:val="14"/>
                            <w:szCs w:val="14"/>
                          </w:rPr>
                          <w:t xml:space="preserve">Threat model</w:t>
                        </w:r>
                      </w:p>
                    </w:tc>
                    <w:tc>
                      <w:tcPr>
                        <w:tcW w:type="dxa" w:w="148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20"/>
                          <w:bottom w:type="dxa" w:w="0"/>
                          <w:right w:type="dxa" w:w="20"/>
                        </w:tcMar>
                        <w:vAlign w:val="top"/>
                      </w:tcPr>
                      <w:p>
                        <w:pPr>
                          <w:shd w:fill="0E8C84" w:color="auto" w:val="clear"/>
                          <w:spacing w:after="0"/>
                          <w:jc w:val="center"/>
                        </w:pPr>
                        <w:r>
                          <w:rPr>
                            <w:rFonts w:ascii="Consolas" w:cs="Consolas" w:eastAsia="Consolas" w:hAnsi="Consolas"/>
                            <w:b/>
                            <w:bCs/>
                            <w:color w:val="FFFFFF"/>
                            <w:sz w:val="15"/>
                            <w:szCs w:val="15"/>
                          </w:rPr>
                          <w:t xml:space="preserve">CODE</w:t>
                        </w:r>
                      </w:p>
                      <w:p>
                        <w:pPr>
                          <w:shd w:fill="EBF7F4" w:color="auto" w:val="clear"/>
                          <w:spacing w:before="0"/>
                          <w:jc w:val="center"/>
                        </w:pPr>
                        <w:r>
                          <w:rPr>
                            <w:rFonts w:ascii="Calibri" w:cs="Calibri" w:eastAsia="Calibri" w:hAnsi="Calibri"/>
                            <w:color w:val="6A6480"/>
                            <w:sz w:val="14"/>
                            <w:szCs w:val="14"/>
                          </w:rPr>
                          <w:t xml:space="preserve">SAST · review</w:t>
                        </w:r>
                      </w:p>
                    </w:tc>
                    <w:tc>
                      <w:tcPr>
                        <w:tcW w:type="dxa" w:w="148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20"/>
                          <w:bottom w:type="dxa" w:w="0"/>
                          <w:right w:type="dxa" w:w="20"/>
                        </w:tcMar>
                        <w:vAlign w:val="top"/>
                      </w:tcPr>
                      <w:p>
                        <w:pPr>
                          <w:shd w:fill="0E8C84" w:color="auto" w:val="clear"/>
                          <w:spacing w:after="0"/>
                          <w:jc w:val="center"/>
                        </w:pPr>
                        <w:r>
                          <w:rPr>
                            <w:rFonts w:ascii="Consolas" w:cs="Consolas" w:eastAsia="Consolas" w:hAnsi="Consolas"/>
                            <w:b/>
                            <w:bCs/>
                            <w:color w:val="FFFFFF"/>
                            <w:sz w:val="15"/>
                            <w:szCs w:val="15"/>
                          </w:rPr>
                          <w:t xml:space="preserve">BUILD</w:t>
                        </w:r>
                      </w:p>
                      <w:p>
                        <w:pPr>
                          <w:shd w:fill="EBF7F4" w:color="auto" w:val="clear"/>
                          <w:spacing w:before="0"/>
                          <w:jc w:val="center"/>
                        </w:pPr>
                        <w:r>
                          <w:rPr>
                            <w:rFonts w:ascii="Calibri" w:cs="Calibri" w:eastAsia="Calibri" w:hAnsi="Calibri"/>
                            <w:color w:val="6A6480"/>
                            <w:sz w:val="14"/>
                            <w:szCs w:val="14"/>
                          </w:rPr>
                          <w:t xml:space="preserve">SCA · secrets</w:t>
                        </w:r>
                      </w:p>
                    </w:tc>
                    <w:tc>
                      <w:tcPr>
                        <w:tcW w:type="dxa" w:w="148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20"/>
                          <w:bottom w:type="dxa" w:w="0"/>
                          <w:right w:type="dxa" w:w="20"/>
                        </w:tcMar>
                        <w:vAlign w:val="top"/>
                      </w:tcPr>
                      <w:p>
                        <w:pPr>
                          <w:shd w:fill="0E8C84" w:color="auto" w:val="clear"/>
                          <w:spacing w:after="0"/>
                          <w:jc w:val="center"/>
                        </w:pPr>
                        <w:r>
                          <w:rPr>
                            <w:rFonts w:ascii="Consolas" w:cs="Consolas" w:eastAsia="Consolas" w:hAnsi="Consolas"/>
                            <w:b/>
                            <w:bCs/>
                            <w:color w:val="FFFFFF"/>
                            <w:sz w:val="15"/>
                            <w:szCs w:val="15"/>
                          </w:rPr>
                          <w:t xml:space="preserve">TEST</w:t>
                        </w:r>
                      </w:p>
                      <w:p>
                        <w:pPr>
                          <w:shd w:fill="EBF7F4" w:color="auto" w:val="clear"/>
                          <w:spacing w:before="0"/>
                          <w:jc w:val="center"/>
                        </w:pPr>
                        <w:r>
                          <w:rPr>
                            <w:rFonts w:ascii="Calibri" w:cs="Calibri" w:eastAsia="Calibri" w:hAnsi="Calibri"/>
                            <w:color w:val="6A6480"/>
                            <w:sz w:val="14"/>
                            <w:szCs w:val="14"/>
                          </w:rPr>
                          <w:t xml:space="preserve">DAST · pentest</w:t>
                        </w:r>
                      </w:p>
                    </w:tc>
                    <w:tc>
                      <w:tcPr>
                        <w:tcW w:type="dxa" w:w="148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20"/>
                          <w:bottom w:type="dxa" w:w="0"/>
                          <w:right w:type="dxa" w:w="20"/>
                        </w:tcMar>
                        <w:vAlign w:val="top"/>
                      </w:tcPr>
                      <w:p>
                        <w:pPr>
                          <w:shd w:fill="0E8C84" w:color="auto" w:val="clear"/>
                          <w:spacing w:after="0"/>
                          <w:jc w:val="center"/>
                        </w:pPr>
                        <w:r>
                          <w:rPr>
                            <w:rFonts w:ascii="Consolas" w:cs="Consolas" w:eastAsia="Consolas" w:hAnsi="Consolas"/>
                            <w:b/>
                            <w:bCs/>
                            <w:color w:val="FFFFFF"/>
                            <w:sz w:val="15"/>
                            <w:szCs w:val="15"/>
                          </w:rPr>
                          <w:t xml:space="preserve">DEPLOY</w:t>
                        </w:r>
                      </w:p>
                      <w:p>
                        <w:pPr>
                          <w:shd w:fill="EBF7F4" w:color="auto" w:val="clear"/>
                          <w:spacing w:before="0"/>
                          <w:jc w:val="center"/>
                        </w:pPr>
                        <w:r>
                          <w:rPr>
                            <w:rFonts w:ascii="Calibri" w:cs="Calibri" w:eastAsia="Calibri" w:hAnsi="Calibri"/>
                            <w:color w:val="6A6480"/>
                            <w:sz w:val="14"/>
                            <w:szCs w:val="14"/>
                          </w:rPr>
                          <w:t xml:space="preserve">Monitor · WAF</w:t>
                        </w:r>
                      </w:p>
                    </w:tc>
                  </w:tr>
                </w:tbl>
                <w:p/>
              </w:tc>
            </w:tr>
          </w:tbl>
          <w:p>
            <w:pPr>
              <w:spacing w:after="170"/>
            </w:pPr>
          </w:p>
          <w:p>
            <w:pPr>
              <w:pBdr>
                <w:bottom w:val="single" w:color="0E8C84" w:sz="16"/>
              </w:pBdr>
              <w:spacing w:after="130" w:before="0"/>
            </w:pPr>
            <w:r>
              <w:rPr>
                <w:rFonts w:ascii="Trebuchet MS" w:cs="Trebuchet MS" w:eastAsia="Trebuchet MS" w:hAnsi="Trebuchet MS"/>
                <w:b/>
                <w:bCs/>
                <w:color w:val="123F3B"/>
                <w:spacing w:val="8"/>
                <w:sz w:val="23"/>
                <w:szCs w:val="23"/>
              </w:rPr>
              <w:t xml:space="preserve">EXPERIENCE</w:t>
            </w:r>
          </w:p>
          <w:p>
            <w:pPr>
              <w:spacing w:after="60"/>
            </w:pPr>
          </w:p>
          <w:tbl>
            <w:tblPr>
              <w:tblW w:type="dxa" w:w="76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900"/>
              <w:gridCol w:w="1700"/>
            </w:tblGrid>
            <w:tr>
              <w:tc>
                <w:tcPr>
                  <w:tcW w:type="dxa" w:w="59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3302E"/>
                      <w:sz w:val="20"/>
                      <w:szCs w:val="20"/>
                    </w:rPr>
                    <w:t xml:space="preserve">Senior Application Security Engineer</w:t>
                  </w:r>
                </w:p>
              </w:tc>
              <w:tc>
                <w:tcPr>
                  <w:tcW w:type="dxa" w:w="1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color w:val="9A93B3"/>
                      <w:sz w:val="15"/>
                      <w:szCs w:val="15"/>
                    </w:rPr>
                    <w:t xml:space="preserve">2021 — Present</w:t>
                  </w:r>
                </w:p>
              </w:tc>
            </w:tr>
          </w:tbl>
          <w:p>
            <w:pPr>
              <w:spacing w:after="55" w:before="40"/>
            </w:pPr>
            <w:r>
              <w:rPr>
                <w:rFonts w:ascii="Consolas" w:cs="Consolas" w:eastAsia="Consolas" w:hAnsi="Consolas"/>
                <w:color w:val="0E8C84"/>
                <w:sz w:val="17"/>
                <w:szCs w:val="17"/>
              </w:rPr>
              <w:t xml:space="preserve">HubSpot — Cambridge, MA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</w:pPr>
            <w:r>
              <w:rPr>
                <w:rFonts w:ascii="Calibri" w:cs="Calibri" w:eastAsia="Calibri" w:hAnsi="Calibri"/>
                <w:color w:val="3A3647"/>
                <w:sz w:val="19"/>
                <w:szCs w:val="19"/>
              </w:rPr>
              <w:t xml:space="preserve">Lead threat modeling and secure design reviews for 30+ engineering teams shipping daily.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</w:pPr>
            <w:r>
              <w:rPr>
                <w:rFonts w:ascii="Calibri" w:cs="Calibri" w:eastAsia="Calibri" w:hAnsi="Calibri"/>
                <w:color w:val="3A3647"/>
                <w:sz w:val="19"/>
                <w:szCs w:val="19"/>
              </w:rPr>
              <w:t xml:space="preserve">Automated SAST, SCA, and secret scanning in CI; cut critical vulns reaching production 70%.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</w:pPr>
            <w:r>
              <w:rPr>
                <w:rFonts w:ascii="Calibri" w:cs="Calibri" w:eastAsia="Calibri" w:hAnsi="Calibri"/>
                <w:color w:val="3A3647"/>
                <w:sz w:val="19"/>
                <w:szCs w:val="19"/>
              </w:rPr>
              <w:t xml:space="preserve">Built a security-champions program and hands-on secure-coding training for 200+ developers.</w:t>
            </w:r>
          </w:p>
          <w:p>
            <w:pPr>
              <w:spacing w:after="190"/>
            </w:pPr>
          </w:p>
          <w:tbl>
            <w:tblPr>
              <w:tblW w:type="dxa" w:w="76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900"/>
              <w:gridCol w:w="1700"/>
            </w:tblGrid>
            <w:tr>
              <w:tc>
                <w:tcPr>
                  <w:tcW w:type="dxa" w:w="59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3302E"/>
                      <w:sz w:val="20"/>
                      <w:szCs w:val="20"/>
                    </w:rPr>
                    <w:t xml:space="preserve">Application Security Engineer</w:t>
                  </w:r>
                </w:p>
              </w:tc>
              <w:tc>
                <w:tcPr>
                  <w:tcW w:type="dxa" w:w="1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color w:val="9A93B3"/>
                      <w:sz w:val="15"/>
                      <w:szCs w:val="15"/>
                    </w:rPr>
                    <w:t xml:space="preserve">2018 — 2021</w:t>
                  </w:r>
                </w:p>
              </w:tc>
            </w:tr>
          </w:tbl>
          <w:p>
            <w:pPr>
              <w:spacing w:after="55" w:before="40"/>
            </w:pPr>
            <w:r>
              <w:rPr>
                <w:rFonts w:ascii="Consolas" w:cs="Consolas" w:eastAsia="Consolas" w:hAnsi="Consolas"/>
                <w:color w:val="0E8C84"/>
                <w:sz w:val="17"/>
                <w:szCs w:val="17"/>
              </w:rPr>
              <w:t xml:space="preserve">Akamai Technologies — Cambridge, MA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</w:pPr>
            <w:r>
              <w:rPr>
                <w:rFonts w:ascii="Calibri" w:cs="Calibri" w:eastAsia="Calibri" w:hAnsi="Calibri"/>
                <w:color w:val="3A3647"/>
                <w:sz w:val="19"/>
                <w:szCs w:val="19"/>
              </w:rPr>
              <w:t xml:space="preserve">Performed manual code review and web-app pentests against OWASP ASVS.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</w:pPr>
            <w:r>
              <w:rPr>
                <w:rFonts w:ascii="Calibri" w:cs="Calibri" w:eastAsia="Calibri" w:hAnsi="Calibri"/>
                <w:color w:val="3A3647"/>
                <w:sz w:val="19"/>
                <w:szCs w:val="19"/>
              </w:rPr>
              <w:t xml:space="preserve">Triaged bug-bounty submissions and drove remediation with product teams.</w:t>
            </w:r>
          </w:p>
          <w:p>
            <w:pPr>
              <w:spacing w:after="190"/>
            </w:pPr>
          </w:p>
          <w:tbl>
            <w:tblPr>
              <w:tblW w:type="dxa" w:w="76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900"/>
              <w:gridCol w:w="1700"/>
            </w:tblGrid>
            <w:tr>
              <w:tc>
                <w:tcPr>
                  <w:tcW w:type="dxa" w:w="59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3302E"/>
                      <w:sz w:val="20"/>
                      <w:szCs w:val="20"/>
                    </w:rPr>
                    <w:t xml:space="preserve">Software Engineer</w:t>
                  </w:r>
                </w:p>
              </w:tc>
              <w:tc>
                <w:tcPr>
                  <w:tcW w:type="dxa" w:w="1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color w:val="9A93B3"/>
                      <w:sz w:val="15"/>
                      <w:szCs w:val="15"/>
                    </w:rPr>
                    <w:t xml:space="preserve">2016 — 2018</w:t>
                  </w:r>
                </w:p>
              </w:tc>
            </w:tr>
          </w:tbl>
          <w:p>
            <w:pPr>
              <w:spacing w:after="55" w:before="40"/>
            </w:pPr>
            <w:r>
              <w:rPr>
                <w:rFonts w:ascii="Consolas" w:cs="Consolas" w:eastAsia="Consolas" w:hAnsi="Consolas"/>
                <w:color w:val="0E8C84"/>
                <w:sz w:val="17"/>
                <w:szCs w:val="17"/>
              </w:rPr>
              <w:t xml:space="preserve">Wayfair — Boston, MA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</w:pPr>
            <w:r>
              <w:rPr>
                <w:rFonts w:ascii="Calibri" w:cs="Calibri" w:eastAsia="Calibri" w:hAnsi="Calibri"/>
                <w:color w:val="3A3647"/>
                <w:sz w:val="19"/>
                <w:szCs w:val="19"/>
              </w:rPr>
              <w:t xml:space="preserve">Built backend services in Java; became the team’s go-to for security questions.</w:t>
            </w:r>
          </w:p>
          <w:p>
            <w:pPr>
              <w:spacing w:after="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3647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f1hwb81x1mnnnpfrrezo4" Type="http://schemas.openxmlformats.org/officeDocument/2006/relationships/hyperlink" Target="mailto:olivia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2026-06-20T17:48:55.480Z</dcterms:created>
  <dcterms:modified xsi:type="dcterms:W3CDTF">2026-06-20T17:48:55.480Z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