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120"/>
        <w:gridCol w:w="7120"/>
        <w:gridCol w:w="4000"/>
      </w:tblGrid>
      <w:tr>
        <w:tc>
          <w:tcPr>
            <w:tcW w:type="dxa" w:w="1120"/>
            <w:tcBorders>
              <w:top w:val="none"/>
              <w:left w:val="none"/>
              <w:bottom w:val="none"/>
              <w:right w:val="none"/>
            </w:tcBorders>
            <w:shd w:fill="B9821A" w:color="auto" w:val="clear"/>
            <w:tcMar>
              <w:top w:type="dxa" w:w="430"/>
              <w:left w:type="dxa" w:w="320"/>
              <w:bottom w:type="dxa" w:w="40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39"/>
                <w:szCs w:val="39"/>
              </w:rPr>
              <w:t xml:space="preserve">DK</w:t>
            </w:r>
          </w:p>
        </w:tc>
        <w:tc>
          <w:tcPr>
            <w:tcW w:type="dxa" w:w="7120"/>
            <w:tcBorders>
              <w:top w:val="none"/>
              <w:left w:val="none"/>
              <w:bottom w:val="none"/>
              <w:right w:val="none"/>
            </w:tcBorders>
            <w:shd w:fill="1A160C" w:color="auto" w:val="clear"/>
            <w:tcMar>
              <w:top w:type="dxa" w:w="430"/>
              <w:left w:type="dxa" w:w="300"/>
              <w:bottom w:type="dxa" w:w="400"/>
              <w:right w:type="dxa" w:w="60"/>
            </w:tcMar>
            <w:vAlign w:val="center"/>
          </w:tcPr>
          <w:p>
            <w:pPr>
              <w:spacing w:after="7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pacing w:val="4"/>
                <w:sz w:val="51"/>
                <w:szCs w:val="51"/>
              </w:rPr>
              <w:t xml:space="preserve">DAVID KIM</w:t>
            </w:r>
          </w:p>
          <w:p>
            <w:r>
              <w:rPr>
                <w:rFonts w:ascii="Consolas" w:cs="Consolas" w:eastAsia="Consolas" w:hAnsi="Consolas"/>
                <w:color w:val="E8BB52"/>
                <w:spacing w:val="8"/>
                <w:sz w:val="17"/>
                <w:szCs w:val="17"/>
              </w:rPr>
              <w:t xml:space="preserve">GRC ANALYST // GOVERNANCE, RISK &amp; COMPLIANCE</w:t>
            </w:r>
          </w:p>
        </w:tc>
        <w:tc>
          <w:tcPr>
            <w:tcW w:type="dxa" w:w="4000"/>
            <w:tcBorders>
              <w:top w:val="none"/>
              <w:left w:val="none"/>
              <w:bottom w:val="none"/>
              <w:right w:val="none"/>
            </w:tcBorders>
            <w:shd w:fill="1A160C" w:color="auto" w:val="clear"/>
            <w:tcMar>
              <w:top w:type="dxa" w:w="430"/>
              <w:left w:type="dxa" w:w="60"/>
              <w:bottom w:type="dxa" w:w="400"/>
              <w:right w:type="dxa" w:w="660"/>
            </w:tcMar>
            <w:vAlign w:val="center"/>
          </w:tcPr>
          <w:p>
            <w:pPr>
              <w:spacing w:line="280" w:lineRule="atLeast"/>
              <w:jc w:val="right"/>
            </w:pPr>
            <w:r>
              <w:rPr>
                <w:rFonts w:ascii="Consolas" w:cs="Consolas" w:eastAsia="Consolas" w:hAnsi="Consolas"/>
                <w:color w:val="A99C7F"/>
                <w:sz w:val="15"/>
                <w:szCs w:val="15"/>
              </w:rPr>
              <w:t xml:space="preserve">Chicago, IL</w:t>
            </w:r>
            <w:r>
              <w:rPr>
                <w:rFonts w:ascii="Consolas" w:cs="Consolas" w:eastAsia="Consolas" w:hAnsi="Consolas"/>
                <w:color w:val="A99C7F"/>
                <w:sz w:val="15"/>
                <w:szCs w:val="15"/>
              </w:rPr>
              <w:br/>
              <w:t xml:space="preserve">(312) 555-0191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smd-veynh2wzw8vi5isew">
              <w:r>
                <w:rPr>
                  <w:rFonts w:ascii="Consolas" w:cs="Consolas" w:eastAsia="Consolas" w:hAnsi="Consolas"/>
                  <w:color w:val="FFFFFF"/>
                  <w:sz w:val="15"/>
                  <w:szCs w:val="15"/>
                </w:rPr>
                <w:t xml:space="preserve">david.kim@email.com</w:t>
              </w:r>
            </w:hyperlink>
            <w:r>
              <w:rPr>
                <w:rFonts w:ascii="Consolas" w:cs="Consolas" w:eastAsia="Consolas" w:hAnsi="Consolas"/>
                <w:color w:val="A99C7F"/>
                <w:sz w:val="15"/>
                <w:szCs w:val="15"/>
              </w:rPr>
              <w:br/>
              <w:t xml:space="preserve">in/davidkim</w:t>
            </w:r>
          </w:p>
        </w:tc>
      </w:tr>
    </w:tbl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4080"/>
        <w:gridCol w:w="4080"/>
      </w:tblGrid>
      <w:tr>
        <w:tc>
          <w:tcPr>
            <w:tcW w:type="dxa" w:w="4080"/>
            <w:tcBorders>
              <w:top w:val="none"/>
              <w:left w:val="none"/>
              <w:bottom w:val="none"/>
              <w:right w:val="single" w:color="3A3219" w:sz="4"/>
            </w:tcBorders>
            <w:shd w:fill="221D10" w:color="auto" w:val="clear"/>
            <w:tcMar>
              <w:top w:type="dxa" w:w="130"/>
              <w:left w:type="dxa" w:w="660"/>
              <w:bottom w:type="dxa" w:w="130"/>
              <w:right w:type="dxa" w:w="200"/>
            </w:tcMar>
            <w:vAlign w:val="center"/>
          </w:tcPr>
          <w:p>
            <w:r>
              <w:rPr>
                <w:rFonts w:ascii="Consolas" w:cs="Consolas" w:eastAsia="Consolas" w:hAnsi="Consolas"/>
                <w:color w:val="A99C7F"/>
                <w:spacing w:val="6"/>
                <w:sz w:val="14"/>
                <w:szCs w:val="14"/>
              </w:rPr>
              <w:t xml:space="preserve">CERTS  </w:t>
            </w:r>
            <w:r>
              <w:rPr>
                <w:rFonts w:ascii="Consolas" w:cs="Consolas" w:eastAsia="Consolas" w:hAnsi="Consolas"/>
                <w:color w:val="FFFFFF"/>
                <w:sz w:val="17"/>
                <w:szCs w:val="17"/>
              </w:rPr>
              <w:t xml:space="preserve">CISA · CISM · ISO 27001 LA</w:t>
            </w:r>
          </w:p>
        </w:tc>
        <w:tc>
          <w:tcPr>
            <w:tcW w:type="dxa" w:w="4080"/>
            <w:tcBorders>
              <w:top w:val="none"/>
              <w:left w:val="none"/>
              <w:bottom w:val="none"/>
              <w:right w:val="single" w:color="3A3219" w:sz="4"/>
            </w:tcBorders>
            <w:shd w:fill="221D10" w:color="auto" w:val="clear"/>
            <w:tcMar>
              <w:top w:type="dxa" w:w="130"/>
              <w:left w:type="dxa" w:w="200"/>
              <w:bottom w:type="dxa" w:w="130"/>
              <w:right w:type="dxa" w:w="200"/>
            </w:tcMar>
            <w:vAlign w:val="center"/>
          </w:tcPr>
          <w:p>
            <w:r>
              <w:rPr>
                <w:rFonts w:ascii="Consolas" w:cs="Consolas" w:eastAsia="Consolas" w:hAnsi="Consolas"/>
                <w:color w:val="A99C7F"/>
                <w:spacing w:val="6"/>
                <w:sz w:val="14"/>
                <w:szCs w:val="14"/>
              </w:rPr>
              <w:t xml:space="preserve">AUDITS  </w:t>
            </w:r>
            <w:r>
              <w:rPr>
                <w:rFonts w:ascii="Consolas" w:cs="Consolas" w:eastAsia="Consolas" w:hAnsi="Consolas"/>
                <w:color w:val="E8BB52"/>
                <w:sz w:val="17"/>
                <w:szCs w:val="17"/>
              </w:rPr>
              <w:t xml:space="preserve">30+</w:t>
            </w:r>
          </w:p>
        </w:tc>
        <w:tc>
          <w:tcPr>
            <w:tcW w:type="dxa" w:w="4080"/>
            <w:tcBorders>
              <w:top w:val="none"/>
              <w:left w:val="none"/>
              <w:bottom w:val="none"/>
              <w:right w:val="none"/>
            </w:tcBorders>
            <w:shd w:fill="221D10" w:color="auto" w:val="clear"/>
            <w:tcMar>
              <w:top w:type="dxa" w:w="130"/>
              <w:left w:type="dxa" w:w="200"/>
              <w:bottom w:type="dxa" w:w="130"/>
              <w:right w:type="dxa" w:w="200"/>
            </w:tcMar>
            <w:vAlign w:val="center"/>
          </w:tcPr>
          <w:p>
            <w:r>
              <w:rPr>
                <w:rFonts w:ascii="Consolas" w:cs="Consolas" w:eastAsia="Consolas" w:hAnsi="Consolas"/>
                <w:color w:val="A99C7F"/>
                <w:spacing w:val="6"/>
                <w:sz w:val="14"/>
                <w:szCs w:val="14"/>
              </w:rPr>
              <w:t xml:space="preserve">EXP  </w:t>
            </w:r>
            <w:r>
              <w:rPr>
                <w:rFonts w:ascii="Consolas" w:cs="Consolas" w:eastAsia="Consolas" w:hAnsi="Consolas"/>
                <w:color w:val="FFFFFF"/>
                <w:sz w:val="17"/>
                <w:szCs w:val="17"/>
              </w:rPr>
              <w:t xml:space="preserve">8 yrs</w:t>
            </w:r>
          </w:p>
        </w:tc>
      </w:tr>
    </w:tbl>
    <w:p>
      <w:pPr>
        <w:spacing w:after="170" w:before="300"/>
        <w:ind w:left="660" w:right="660"/>
      </w:pPr>
      <w:r>
        <w:rPr>
          <w:rFonts w:ascii="Calibri" w:cs="Calibri" w:eastAsia="Calibri" w:hAnsi="Calibri"/>
          <w:color w:val="34404F"/>
          <w:sz w:val="20"/>
          <w:szCs w:val="20"/>
        </w:rPr>
        <w:t xml:space="preserve">GRC analyst who turns sprawling security requirements into audits that pass. Eight years running risk assessments, managing controls, and leading SOC 2, ISO 27001, and NIST programs end-to-end. I translate between auditors, engineers, and executives, and keep the evidence airtight.</w:t>
      </w:r>
    </w:p>
    <w:tbl>
      <w:tblPr>
        <w:tblW w:type="dxa" w:w="10920"/>
        <w:tblInd w:type="dxa" w:w="6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40"/>
        <w:gridCol w:w="240"/>
        <w:gridCol w:w="5340"/>
      </w:tblGrid>
      <w:tr>
        <w:tc>
          <w:tcPr>
            <w:tcW w:type="dxa" w:w="5340"/>
            <w:tcBorders>
              <w:top w:val="none"/>
              <w:left w:val="none"/>
              <w:bottom w:val="none"/>
              <w:right w:val="none"/>
            </w:tcBorders>
            <w:vAlign w:val="top"/>
          </w:tcPr>
          <w:tbl>
            <w:tblPr>
              <w:tblW w:type="dxa" w:w="5340"/>
              <w:tblInd w:type="dxa" w:w="0"/>
              <w:tblBorders>
                <w:top w:val="single" w:color="ECE3CF" w:sz="4"/>
                <w:left w:val="single" w:color="ECE3CF" w:sz="4"/>
                <w:bottom w:val="single" w:color="ECE3CF" w:sz="4"/>
                <w:right w:val="single" w:color="ECE3CF" w:sz="4"/>
                <w:insideH w:val="none"/>
                <w:insideV w:val="none"/>
              </w:tblBorders>
              <w:tblLayout w:type="fixed"/>
            </w:tblPr>
            <w:tblGrid>
              <w:gridCol w:w="5340"/>
            </w:tblGrid>
            <w:tr>
              <w:tc>
                <w:tcPr>
                  <w:tcW w:type="dxa" w:w="534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60"/>
                    <w:left w:type="dxa" w:w="200"/>
                    <w:bottom w:type="dxa" w:w="160"/>
                    <w:right w:type="dxa" w:w="200"/>
                  </w:tcMar>
                </w:tcPr>
                <w:p>
                  <w:pPr>
                    <w:spacing w:after="90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B9821A"/>
                      <w:spacing w:val="6"/>
                      <w:sz w:val="14"/>
                      <w:szCs w:val="14"/>
                    </w:rPr>
                    <w:t xml:space="preserve">CONTROLS COVERAGE</w:t>
                  </w:r>
                </w:p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1A7D4B"/>
                      <w:sz w:val="60"/>
                      <w:szCs w:val="60"/>
                    </w:rPr>
                    <w:t xml:space="preserve">92%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5F5840"/>
                      <w:sz w:val="17"/>
                      <w:szCs w:val="17"/>
                    </w:rPr>
                    <w:t xml:space="preserve">implemented across SOC 2 &amp; ISO 27001</w:t>
                  </w:r>
                </w:p>
              </w:tc>
            </w:tr>
          </w:tbl>
          <w:p/>
        </w:tc>
        <w:tc>
          <w:tcPr>
            <w:tcW w:type="dxa" w:w="2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5340"/>
            <w:tcBorders>
              <w:top w:val="none"/>
              <w:left w:val="none"/>
              <w:bottom w:val="none"/>
              <w:right w:val="none"/>
            </w:tcBorders>
            <w:vAlign w:val="top"/>
          </w:tcPr>
          <w:tbl>
            <w:tblPr>
              <w:tblW w:type="dxa" w:w="5340"/>
              <w:tblInd w:type="dxa" w:w="0"/>
              <w:tblBorders>
                <w:top w:val="single" w:color="ECE3CF" w:sz="4"/>
                <w:left w:val="single" w:color="ECE3CF" w:sz="4"/>
                <w:bottom w:val="single" w:color="ECE3CF" w:sz="4"/>
                <w:right w:val="single" w:color="ECE3CF" w:sz="4"/>
                <w:insideH w:val="none"/>
                <w:insideV w:val="none"/>
              </w:tblBorders>
              <w:tblLayout w:type="fixed"/>
            </w:tblPr>
            <w:tblGrid>
              <w:gridCol w:w="5340"/>
            </w:tblGrid>
            <w:tr>
              <w:tc>
                <w:tcPr>
                  <w:tcW w:type="dxa" w:w="534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60"/>
                    <w:left w:type="dxa" w:w="200"/>
                    <w:bottom w:type="dxa" w:w="160"/>
                    <w:right w:type="dxa" w:w="200"/>
                  </w:tcMar>
                </w:tcPr>
                <w:p>
                  <w:pPr>
                    <w:spacing w:after="110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B9821A"/>
                      <w:spacing w:val="6"/>
                      <w:sz w:val="14"/>
                      <w:szCs w:val="14"/>
                    </w:rPr>
                    <w:t xml:space="preserve">FRAMEWORKS LED</w:t>
                  </w:r>
                </w:p>
                <w:p>
                  <w:pPr>
                    <w:spacing w:line="330" w:lineRule="atLeast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FFFFFF"/>
                      <w:sz w:val="16"/>
                      <w:szCs w:val="16"/>
                      <w:shd w:fill="B9821A" w:color="auto" w:val="clear"/>
                    </w:rPr>
                    <w:t xml:space="preserve"> SOC 2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onsolas" w:cs="Consolas" w:eastAsia="Consolas" w:hAnsi="Consolas"/>
                      <w:color w:val="8A6314"/>
                      <w:sz w:val="16"/>
                      <w:szCs w:val="16"/>
                      <w:shd w:fill="FAF2DF" w:color="auto" w:val="clear"/>
                    </w:rPr>
                    <w:t xml:space="preserve"> ISO 27001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onsolas" w:cs="Consolas" w:eastAsia="Consolas" w:hAnsi="Consolas"/>
                      <w:color w:val="8A6314"/>
                      <w:sz w:val="16"/>
                      <w:szCs w:val="16"/>
                      <w:shd w:fill="FAF2DF" w:color="auto" w:val="clear"/>
                    </w:rPr>
                    <w:t xml:space="preserve"> NIST 800-53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onsolas" w:cs="Consolas" w:eastAsia="Consolas" w:hAnsi="Consolas"/>
                      <w:color w:val="8A6314"/>
                      <w:sz w:val="16"/>
                      <w:szCs w:val="16"/>
                      <w:shd w:fill="FAF2DF" w:color="auto" w:val="clear"/>
                    </w:rPr>
                    <w:t xml:space="preserve"> NIST CSF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onsolas" w:cs="Consolas" w:eastAsia="Consolas" w:hAnsi="Consolas"/>
                      <w:color w:val="8A6314"/>
                      <w:sz w:val="16"/>
                      <w:szCs w:val="16"/>
                      <w:shd w:fill="FAF2DF" w:color="auto" w:val="clear"/>
                    </w:rPr>
                    <w:t xml:space="preserve"> PCI DSS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onsolas" w:cs="Consolas" w:eastAsia="Consolas" w:hAnsi="Consolas"/>
                      <w:color w:val="8A6314"/>
                      <w:sz w:val="16"/>
                      <w:szCs w:val="16"/>
                      <w:shd w:fill="FAF2DF" w:color="auto" w:val="clear"/>
                    </w:rPr>
                    <w:t xml:space="preserve"> HIPAA </w:t>
                  </w:r>
                </w:p>
              </w:tc>
            </w:tr>
          </w:tbl>
          <w:p/>
        </w:tc>
      </w:tr>
    </w:tbl>
    <w:p>
      <w:pPr>
        <w:spacing w:after="150"/>
      </w:pPr>
    </w:p>
    <w:p>
      <w:pPr>
        <w:pBdr>
          <w:bottom w:val="single" w:color="B9821A" w:sz="16"/>
        </w:pBdr>
        <w:spacing w:after="130" w:before="0"/>
        <w:ind w:left="660" w:right="660"/>
      </w:pPr>
      <w:r>
        <w:rPr>
          <w:rFonts w:ascii="Trebuchet MS" w:cs="Trebuchet MS" w:eastAsia="Trebuchet MS" w:hAnsi="Trebuchet MS"/>
          <w:b/>
          <w:bCs/>
          <w:color w:val="1A160C"/>
          <w:spacing w:val="8"/>
          <w:sz w:val="23"/>
          <w:szCs w:val="23"/>
        </w:rPr>
        <w:t xml:space="preserve">EXPERIENCE</w:t>
      </w:r>
    </w:p>
    <w:p>
      <w:pPr>
        <w:spacing w:after="60"/>
      </w:pPr>
    </w:p>
    <w:tbl>
      <w:tblPr>
        <w:tblW w:type="dxa" w:w="10920"/>
        <w:tblInd w:type="dxa" w:w="6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21D10"/>
                <w:sz w:val="20"/>
                <w:szCs w:val="20"/>
              </w:rPr>
              <w:t xml:space="preserve">Senior GRC Analyst</w:t>
            </w:r>
          </w:p>
        </w:tc>
        <w:tc>
          <w:tcPr>
            <w:tcW w:type="dxa" w:w="17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A99E82"/>
                <w:sz w:val="15"/>
                <w:szCs w:val="15"/>
              </w:rPr>
              <w:t xml:space="preserve">2020 — Present</w:t>
            </w:r>
          </w:p>
        </w:tc>
      </w:tr>
    </w:tbl>
    <w:p>
      <w:pPr>
        <w:spacing w:after="55" w:before="40"/>
        <w:ind w:left="660" w:right="660"/>
      </w:pPr>
      <w:r>
        <w:rPr>
          <w:rFonts w:ascii="Consolas" w:cs="Consolas" w:eastAsia="Consolas" w:hAnsi="Consolas"/>
          <w:color w:val="B9821A"/>
          <w:sz w:val="17"/>
          <w:szCs w:val="17"/>
        </w:rPr>
        <w:t xml:space="preserve">Discover Financial Services — Chicago, IL</w:t>
      </w:r>
    </w:p>
    <w:p>
      <w:pPr>
        <w:pStyle w:val="ListParagraph"/>
        <w:numPr>
          <w:ilvl w:val="0"/>
          <w:numId w:val="2"/>
        </w:numPr>
        <w:spacing w:after="34"/>
        <w:ind w:left="960" w:right="66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Lead SOC 2 Type II and ISO 27001 programs end-to-end; passed every audit with zero major findings.</w:t>
      </w:r>
    </w:p>
    <w:p>
      <w:pPr>
        <w:pStyle w:val="ListParagraph"/>
        <w:numPr>
          <w:ilvl w:val="0"/>
          <w:numId w:val="2"/>
        </w:numPr>
        <w:spacing w:after="34"/>
        <w:ind w:left="960" w:right="66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Run enterprise risk assessments and manage 200+ controls in a GRC platform (Archer).</w:t>
      </w:r>
    </w:p>
    <w:p>
      <w:pPr>
        <w:pStyle w:val="ListParagraph"/>
        <w:numPr>
          <w:ilvl w:val="0"/>
          <w:numId w:val="2"/>
        </w:numPr>
        <w:spacing w:after="34"/>
        <w:ind w:left="960" w:right="66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Built a vendor risk-management program reviewing 150+ third parties annually.</w:t>
      </w:r>
    </w:p>
    <w:p>
      <w:pPr>
        <w:spacing w:after="200"/>
        <w:ind w:left="660" w:right="660"/>
      </w:pPr>
    </w:p>
    <w:tbl>
      <w:tblPr>
        <w:tblW w:type="dxa" w:w="10920"/>
        <w:tblInd w:type="dxa" w:w="6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21D10"/>
                <w:sz w:val="20"/>
                <w:szCs w:val="20"/>
              </w:rPr>
              <w:t xml:space="preserve">IT Compliance Analyst</w:t>
            </w:r>
          </w:p>
        </w:tc>
        <w:tc>
          <w:tcPr>
            <w:tcW w:type="dxa" w:w="17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A99E82"/>
                <w:sz w:val="15"/>
                <w:szCs w:val="15"/>
              </w:rPr>
              <w:t xml:space="preserve">2017 — 2020</w:t>
            </w:r>
          </w:p>
        </w:tc>
      </w:tr>
    </w:tbl>
    <w:p>
      <w:pPr>
        <w:spacing w:after="55" w:before="40"/>
        <w:ind w:left="660" w:right="660"/>
      </w:pPr>
      <w:r>
        <w:rPr>
          <w:rFonts w:ascii="Consolas" w:cs="Consolas" w:eastAsia="Consolas" w:hAnsi="Consolas"/>
          <w:color w:val="B9821A"/>
          <w:sz w:val="17"/>
          <w:szCs w:val="17"/>
        </w:rPr>
        <w:t xml:space="preserve">Grant Thornton — Chicago, IL</w:t>
      </w:r>
    </w:p>
    <w:p>
      <w:pPr>
        <w:pStyle w:val="ListParagraph"/>
        <w:numPr>
          <w:ilvl w:val="0"/>
          <w:numId w:val="2"/>
        </w:numPr>
        <w:spacing w:after="34"/>
        <w:ind w:left="960" w:right="66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Performed IT general-controls and SOX audits for financial-services clients.</w:t>
      </w:r>
    </w:p>
    <w:p>
      <w:pPr>
        <w:pStyle w:val="ListParagraph"/>
        <w:numPr>
          <w:ilvl w:val="0"/>
          <w:numId w:val="2"/>
        </w:numPr>
        <w:spacing w:after="34"/>
        <w:ind w:left="960" w:right="66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Documented control gaps and tracked remediation to closure.</w:t>
      </w:r>
    </w:p>
    <w:p>
      <w:pPr>
        <w:spacing w:after="200"/>
        <w:ind w:left="660" w:right="660"/>
      </w:pPr>
    </w:p>
    <w:tbl>
      <w:tblPr>
        <w:tblW w:type="dxa" w:w="10920"/>
        <w:tblInd w:type="dxa" w:w="6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21D10"/>
                <w:sz w:val="20"/>
                <w:szCs w:val="20"/>
              </w:rPr>
              <w:t xml:space="preserve">Information Security Analyst</w:t>
            </w:r>
          </w:p>
        </w:tc>
        <w:tc>
          <w:tcPr>
            <w:tcW w:type="dxa" w:w="17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A99E82"/>
                <w:sz w:val="15"/>
                <w:szCs w:val="15"/>
              </w:rPr>
              <w:t xml:space="preserve">2016 — 2017</w:t>
            </w:r>
          </w:p>
        </w:tc>
      </w:tr>
    </w:tbl>
    <w:p>
      <w:pPr>
        <w:spacing w:after="55" w:before="40"/>
        <w:ind w:left="660" w:right="660"/>
      </w:pPr>
      <w:r>
        <w:rPr>
          <w:rFonts w:ascii="Consolas" w:cs="Consolas" w:eastAsia="Consolas" w:hAnsi="Consolas"/>
          <w:color w:val="B9821A"/>
          <w:sz w:val="17"/>
          <w:szCs w:val="17"/>
        </w:rPr>
        <w:t xml:space="preserve">Allstate — Northbrook, IL</w:t>
      </w:r>
    </w:p>
    <w:p>
      <w:pPr>
        <w:pStyle w:val="ListParagraph"/>
        <w:numPr>
          <w:ilvl w:val="0"/>
          <w:numId w:val="2"/>
        </w:numPr>
        <w:spacing w:after="34"/>
        <w:ind w:left="960" w:right="66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Supported policy management, access reviews, and security-awareness training.</w:t>
      </w:r>
    </w:p>
    <w:p>
      <w:pPr>
        <w:spacing w:after="0"/>
        <w:ind w:left="660" w:right="660"/>
      </w:pPr>
    </w:p>
    <w:p>
      <w:pPr>
        <w:spacing w:after="60"/>
      </w:pPr>
    </w:p>
    <w:tbl>
      <w:tblPr>
        <w:tblW w:type="dxa" w:w="10920"/>
        <w:tblInd w:type="dxa" w:w="660"/>
        <w:tblBorders>
          <w:top w:val="single" w:color="ECE5D4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50"/>
        <w:gridCol w:w="480"/>
        <w:gridCol w:w="4490"/>
      </w:tblGrid>
      <w:tr>
        <w:tc>
          <w:tcPr>
            <w:tcW w:type="dxa" w:w="5950"/>
            <w:tcBorders>
              <w:top w:val="none"/>
              <w:left w:val="none"/>
              <w:bottom w:val="none"/>
              <w:right w:val="single" w:color="ECE5D4" w:sz="8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/>
            </w:pPr>
            <w:r>
              <w:rPr>
                <w:rFonts w:ascii="Trebuchet MS" w:cs="Trebuchet MS" w:eastAsia="Trebuchet MS" w:hAnsi="Trebuchet MS"/>
                <w:b/>
                <w:bCs/>
                <w:color w:val="B9821A"/>
                <w:spacing w:val="14"/>
                <w:sz w:val="17"/>
                <w:szCs w:val="17"/>
              </w:rPr>
              <w:t xml:space="preserve">COMPETENCIES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4404F"/>
                <w:sz w:val="18"/>
                <w:szCs w:val="18"/>
              </w:rPr>
              <w:t xml:space="preserve">Risk Assessment · Controls Mapping · Audit Management · Vendor Risk · RSA Archer · Policy</w:t>
            </w:r>
          </w:p>
        </w:tc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490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Trebuchet MS" w:cs="Trebuchet MS" w:eastAsia="Trebuchet MS" w:hAnsi="Trebuchet MS"/>
                <w:b/>
                <w:bCs/>
                <w:color w:val="B9821A"/>
                <w:spacing w:val="14"/>
                <w:sz w:val="17"/>
                <w:szCs w:val="17"/>
              </w:rPr>
              <w:t xml:space="preserve">EDUCATION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221D10"/>
                <w:sz w:val="18"/>
                <w:szCs w:val="18"/>
              </w:rPr>
              <w:t xml:space="preserve">B.B.A., Management Info. Systems</w:t>
            </w:r>
          </w:p>
          <w:p>
            <w:r>
              <w:rPr>
                <w:rFonts w:ascii="Consolas" w:cs="Consolas" w:eastAsia="Consolas" w:hAnsi="Consolas"/>
                <w:color w:val="7A8698"/>
                <w:sz w:val="17"/>
                <w:szCs w:val="17"/>
              </w:rPr>
              <w:t xml:space="preserve">University of Illinois</w:t>
            </w:r>
          </w:p>
        </w:tc>
      </w:tr>
    </w:tbl>
    <w:sectPr>
      <w:pgSz w:w="12240" w:h="15840" w:orient="portrait"/>
      <w:pgMar w:top="0" w:right="0" w:bottom="52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4404F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smd-veynh2wzw8vi5isew" Type="http://schemas.openxmlformats.org/officeDocument/2006/relationships/hyperlink" Target="mailto:david.kim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2026-06-20T17:48:55.471Z</dcterms:created>
  <dcterms:modified xsi:type="dcterms:W3CDTF">2026-06-20T17:48:55.471Z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