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00"/>
        <w:tblBorders>
          <w:top w:val="single" w:color="1C1C1E" w:sz="24"/>
          <w:left w:val="none"/>
          <w:bottom w:val="single" w:color="1C1C1E" w:sz="8"/>
          <w:right w:val="none"/>
          <w:insideH w:val="none"/>
          <w:insideV w:val="none"/>
        </w:tblBorders>
        <w:tblLayout w:type="fixed"/>
      </w:tblPr>
      <w:tblGrid>
        <w:gridCol w:w="7200"/>
        <w:gridCol w:w="3400"/>
      </w:tblGrid>
      <w:tr>
        <w:tc>
          <w:tcPr>
            <w:tcW w:type="dxa" w:w="72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160"/>
              <w:right w:type="dxa" w:w="0"/>
            </w:tcMar>
            <w:vAlign w:val="bottom"/>
          </w:tcPr>
          <w:p>
            <w:r>
              <w:rPr>
                <w:rFonts w:ascii="Consolas" w:cs="Consolas" w:eastAsia="Consolas" w:hAnsi="Consolas"/>
                <w:color w:val="C0392B"/>
                <w:spacing w:val="8"/>
                <w:sz w:val="15"/>
                <w:szCs w:val="15"/>
              </w:rPr>
              <w:t xml:space="preserve">INCIDENT RESPONSE // DIGITAL FORENSICS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1C1C1E"/>
                <w:sz w:val="54"/>
                <w:szCs w:val="54"/>
              </w:rPr>
              <w:t xml:space="preserve">Ethan Cole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onsolas" w:cs="Consolas" w:eastAsia="Consolas" w:hAnsi="Consolas"/>
                <w:color w:val="6A6A6E"/>
                <w:sz w:val="15"/>
                <w:szCs w:val="15"/>
              </w:rPr>
              <w:t xml:space="preserve">Denver, CO</w:t>
            </w:r>
            <w:r>
              <w:rPr>
                <w:rFonts w:ascii="Consolas" w:cs="Consolas" w:eastAsia="Consolas" w:hAnsi="Consolas"/>
                <w:color w:val="6A6A6E"/>
                <w:sz w:val="15"/>
                <w:szCs w:val="15"/>
              </w:rPr>
              <w:br/>
              <w:t xml:space="preserve">(303)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mq-clbjwp63q4v6xs6pf">
              <w:r>
                <w:rPr>
                  <w:rFonts w:ascii="Consolas" w:cs="Consolas" w:eastAsia="Consolas" w:hAnsi="Consolas"/>
                  <w:color w:val="6A6A6E"/>
                  <w:sz w:val="15"/>
                  <w:szCs w:val="15"/>
                </w:rPr>
                <w:t xml:space="preserve">ethan.cole@email.com</w:t>
              </w:r>
            </w:hyperlink>
            <w:r>
              <w:rPr>
                <w:rFonts w:ascii="Consolas" w:cs="Consolas" w:eastAsia="Consolas" w:hAnsi="Consolas"/>
                <w:color w:val="6A6A6E"/>
                <w:sz w:val="15"/>
                <w:szCs w:val="15"/>
              </w:rPr>
              <w:br/>
              <w:t xml:space="preserve">in/ethancole</w:t>
            </w:r>
          </w:p>
        </w:tc>
      </w:tr>
    </w:tbl>
    <w:tbl>
      <w:tblPr>
        <w:tblW w:type="dxa" w:w="10600"/>
        <w:tblBorders>
          <w:top w:val="none"/>
          <w:left w:val="none"/>
          <w:bottom w:val="single" w:color="DCDCDE" w:sz="6"/>
          <w:right w:val="none"/>
          <w:insideH w:val="none"/>
          <w:insideV w:val="none"/>
        </w:tblBorders>
        <w:tblLayout w:type="fixed"/>
      </w:tblPr>
      <w:tblGrid>
        <w:gridCol w:w="4452"/>
        <w:gridCol w:w="3498"/>
        <w:gridCol w:w="2650"/>
      </w:tblGrid>
      <w:tr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  <w:tcMar>
              <w:top w:type="dxa" w:w="110"/>
              <w:left w:type="dxa" w:w="0"/>
              <w:bottom w:type="dxa" w:w="110"/>
              <w:right w:type="dxa" w:w="60"/>
            </w:tcMar>
          </w:tcPr>
          <w:p>
            <w:r>
              <w:rPr>
                <w:rFonts w:ascii="Consolas" w:cs="Consolas" w:eastAsia="Consolas" w:hAnsi="Consolas"/>
                <w:color w:val="9A9A9E"/>
                <w:sz w:val="15"/>
                <w:szCs w:val="15"/>
              </w:rPr>
              <w:t xml:space="preserve">CERTS: </w:t>
            </w:r>
            <w:r>
              <w:rPr>
                <w:rFonts w:ascii="Consolas" w:cs="Consolas" w:eastAsia="Consolas" w:hAnsi="Consolas"/>
                <w:color w:val="4A4A4E"/>
                <w:sz w:val="15"/>
                <w:szCs w:val="15"/>
              </w:rPr>
              <w:t xml:space="preserve">GCFA · GCIH · GREM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  <w:tcMar>
              <w:top w:type="dxa" w:w="110"/>
              <w:left w:type="dxa" w:w="0"/>
              <w:bottom w:type="dxa" w:w="110"/>
              <w:right w:type="dxa" w:w="60"/>
            </w:tcMar>
          </w:tcPr>
          <w:p>
            <w:r>
              <w:rPr>
                <w:rFonts w:ascii="Consolas" w:cs="Consolas" w:eastAsia="Consolas" w:hAnsi="Consolas"/>
                <w:color w:val="9A9A9E"/>
                <w:sz w:val="15"/>
                <w:szCs w:val="15"/>
              </w:rPr>
              <w:t xml:space="preserve">INCIDENTS LED: </w:t>
            </w:r>
            <w:r>
              <w:rPr>
                <w:rFonts w:ascii="Consolas" w:cs="Consolas" w:eastAsia="Consolas" w:hAnsi="Consolas"/>
                <w:color w:val="4A4A4E"/>
                <w:sz w:val="15"/>
                <w:szCs w:val="15"/>
              </w:rPr>
              <w:t xml:space="preserve">200+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  <w:tcMar>
              <w:top w:type="dxa" w:w="110"/>
              <w:left w:type="dxa" w:w="0"/>
              <w:bottom w:type="dxa" w:w="110"/>
              <w:right w:type="dxa" w:w="60"/>
            </w:tcMar>
          </w:tcPr>
          <w:p>
            <w:r>
              <w:rPr>
                <w:rFonts w:ascii="Consolas" w:cs="Consolas" w:eastAsia="Consolas" w:hAnsi="Consolas"/>
                <w:color w:val="9A9A9E"/>
                <w:sz w:val="15"/>
                <w:szCs w:val="15"/>
              </w:rPr>
              <w:t xml:space="preserve">EXP: </w:t>
            </w:r>
            <w:r>
              <w:rPr>
                <w:rFonts w:ascii="Consolas" w:cs="Consolas" w:eastAsia="Consolas" w:hAnsi="Consolas"/>
                <w:color w:val="4A4A4E"/>
                <w:sz w:val="15"/>
                <w:szCs w:val="15"/>
              </w:rPr>
              <w:t xml:space="preserve">9 yrs</w:t>
            </w:r>
          </w:p>
        </w:tc>
      </w:tr>
    </w:tbl>
    <w:p>
      <w:pPr>
        <w:spacing w:after="200" w:before="230"/>
      </w:pPr>
      <w:r>
        <w:rPr>
          <w:rFonts w:ascii="Calibri" w:cs="Calibri" w:eastAsia="Calibri" w:hAnsi="Calibri"/>
          <w:color w:val="2E2E30"/>
          <w:sz w:val="20"/>
          <w:szCs w:val="20"/>
        </w:rPr>
        <w:t xml:space="preserve">Incident responder and forensic analyst who runs toward the breach. Nine years leading containment and root-cause investigations for ransomware, BEC, and nation-state intrusions — acquiring evidence, analyzing memory and disk, and writing the report that holds up in the boardroom and in court.</w:t>
      </w:r>
    </w:p>
    <w:tbl>
      <w:tblPr>
        <w:tblW w:type="dxa" w:w="10600"/>
        <w:tblInd w:type="dxa" w:w="0"/>
        <w:tblBorders>
          <w:top w:val="single" w:color="DCDCDE" w:sz="4"/>
          <w:left w:val="single" w:color="DCDCDE" w:sz="4"/>
          <w:bottom w:val="single" w:color="DCDCDE" w:sz="4"/>
          <w:right w:val="single" w:color="DCDCDE" w:sz="4"/>
          <w:insideH w:val="none"/>
          <w:insideV w:val="none"/>
        </w:tblBorders>
        <w:tblLayout w:type="fixed"/>
      </w:tblPr>
      <w:tblGrid>
        <w:gridCol w:w="10600"/>
      </w:tblGrid>
      <w:tr>
        <w:tc>
          <w:tcPr>
            <w:tcW w:type="dxa" w:w="106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20"/>
            </w:pPr>
            <w:r>
              <w:rPr>
                <w:rFonts w:ascii="Consolas" w:cs="Consolas" w:eastAsia="Consolas" w:hAnsi="Consolas"/>
                <w:color w:val="C0392B"/>
                <w:spacing w:val="6"/>
                <w:sz w:val="14"/>
                <w:szCs w:val="14"/>
              </w:rPr>
              <w:t xml:space="preserve">INCIDENT RESPONSE LIFECYCLE</w:t>
            </w:r>
          </w:p>
          <w:tbl>
            <w:tblPr>
              <w:tblW w:type="dxa" w:w="10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032"/>
              <w:gridCol w:w="110"/>
              <w:gridCol w:w="2032"/>
              <w:gridCol w:w="110"/>
              <w:gridCol w:w="2032"/>
              <w:gridCol w:w="110"/>
              <w:gridCol w:w="2032"/>
              <w:gridCol w:w="110"/>
              <w:gridCol w:w="2032"/>
            </w:tblGrid>
            <w:tr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20"/>
                    <w:bottom w:type="dxa" w:w="0"/>
                    <w:right w:type="dxa" w:w="20"/>
                  </w:tcMar>
                  <w:vAlign w:val="center"/>
                </w:tcPr>
                <w:p>
                  <w:pPr>
                    <w:pBdr>
                      <w:top w:val="single" w:color="DCDCDE" w:sz="4"/>
                      <w:bottom w:val="single" w:color="DCDCDE" w:sz="4"/>
                      <w:left w:val="single" w:color="DCDCDE" w:sz="4"/>
                      <w:right w:val="single" w:color="DCDCDE" w:sz="4"/>
                    </w:pBdr>
                    <w:shd w:fill="F3F3F4" w:color="auto" w:val="clear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C1C1E"/>
                      <w:sz w:val="15"/>
                      <w:szCs w:val="15"/>
                    </w:rPr>
                    <w:t xml:space="preserve">DETECT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0392B"/>
                      <w:sz w:val="18"/>
                      <w:szCs w:val="18"/>
                    </w:rPr>
                    <w:t xml:space="preserve">→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20"/>
                    <w:bottom w:type="dxa" w:w="0"/>
                    <w:right w:type="dxa" w:w="20"/>
                  </w:tcMar>
                  <w:vAlign w:val="center"/>
                </w:tcPr>
                <w:p>
                  <w:pPr>
                    <w:pBdr>
                      <w:top w:val="single" w:color="DCDCDE" w:sz="4"/>
                      <w:bottom w:val="single" w:color="DCDCDE" w:sz="4"/>
                      <w:left w:val="single" w:color="DCDCDE" w:sz="4"/>
                      <w:right w:val="single" w:color="DCDCDE" w:sz="4"/>
                    </w:pBdr>
                    <w:shd w:fill="F3F3F4" w:color="auto" w:val="clear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C1C1E"/>
                      <w:sz w:val="15"/>
                      <w:szCs w:val="15"/>
                    </w:rPr>
                    <w:t xml:space="preserve">ANALYZE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0392B"/>
                      <w:sz w:val="18"/>
                      <w:szCs w:val="18"/>
                    </w:rPr>
                    <w:t xml:space="preserve">→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20"/>
                    <w:bottom w:type="dxa" w:w="0"/>
                    <w:right w:type="dxa" w:w="20"/>
                  </w:tcMar>
                  <w:vAlign w:val="center"/>
                </w:tcPr>
                <w:p>
                  <w:pPr>
                    <w:pBdr>
                      <w:top w:val="single" w:color="C0392B" w:sz="4"/>
                      <w:bottom w:val="single" w:color="C0392B" w:sz="4"/>
                      <w:left w:val="single" w:color="C0392B" w:sz="4"/>
                      <w:right w:val="single" w:color="C0392B" w:sz="4"/>
                    </w:pBdr>
                    <w:shd w:fill="C0392B" w:color="auto" w:val="clear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FFFFFF"/>
                      <w:sz w:val="15"/>
                      <w:szCs w:val="15"/>
                    </w:rPr>
                    <w:t xml:space="preserve">CONTAIN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0392B"/>
                      <w:sz w:val="18"/>
                      <w:szCs w:val="18"/>
                    </w:rPr>
                    <w:t xml:space="preserve">→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20"/>
                    <w:bottom w:type="dxa" w:w="0"/>
                    <w:right w:type="dxa" w:w="20"/>
                  </w:tcMar>
                  <w:vAlign w:val="center"/>
                </w:tcPr>
                <w:p>
                  <w:pPr>
                    <w:pBdr>
                      <w:top w:val="single" w:color="DCDCDE" w:sz="4"/>
                      <w:bottom w:val="single" w:color="DCDCDE" w:sz="4"/>
                      <w:left w:val="single" w:color="DCDCDE" w:sz="4"/>
                      <w:right w:val="single" w:color="DCDCDE" w:sz="4"/>
                    </w:pBdr>
                    <w:shd w:fill="F3F3F4" w:color="auto" w:val="clear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C1C1E"/>
                      <w:sz w:val="15"/>
                      <w:szCs w:val="15"/>
                    </w:rPr>
                    <w:t xml:space="preserve">ERADICATE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0392B"/>
                      <w:sz w:val="18"/>
                      <w:szCs w:val="18"/>
                    </w:rPr>
                    <w:t xml:space="preserve">→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20"/>
                    <w:bottom w:type="dxa" w:w="0"/>
                    <w:right w:type="dxa" w:w="20"/>
                  </w:tcMar>
                  <w:vAlign w:val="center"/>
                </w:tcPr>
                <w:p>
                  <w:pPr>
                    <w:pBdr>
                      <w:top w:val="single" w:color="DCDCDE" w:sz="4"/>
                      <w:bottom w:val="single" w:color="DCDCDE" w:sz="4"/>
                      <w:left w:val="single" w:color="DCDCDE" w:sz="4"/>
                      <w:right w:val="single" w:color="DCDCDE" w:sz="4"/>
                    </w:pBdr>
                    <w:shd w:fill="F3F3F4" w:color="auto" w:val="clear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C1C1E"/>
                      <w:sz w:val="15"/>
                      <w:szCs w:val="15"/>
                    </w:rPr>
                    <w:t xml:space="preserve">RECOVER</w:t>
                  </w:r>
                </w:p>
              </w:tc>
            </w:tr>
          </w:tbl>
          <w:p/>
        </w:tc>
      </w:tr>
    </w:tbl>
    <w:p>
      <w:pPr>
        <w:spacing w:after="170"/>
      </w:pPr>
    </w:p>
    <w:p>
      <w:pPr>
        <w:spacing w:after="130"/>
      </w:pPr>
      <w:r>
        <w:rPr>
          <w:rFonts w:ascii="Consolas" w:cs="Consolas" w:eastAsia="Consolas" w:hAnsi="Consolas"/>
          <w:b/>
          <w:bCs/>
          <w:color w:val="1C1C1E"/>
          <w:spacing w:val="4"/>
          <w:sz w:val="18"/>
          <w:szCs w:val="18"/>
        </w:rPr>
        <w:t xml:space="preserve">## EXPERIENCE</w:t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00"/>
        <w:gridCol w:w="1600"/>
      </w:tblGrid>
      <w:tr>
        <w:tc>
          <w:tcPr>
            <w:tcW w:type="dxa" w:w="90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Senior DFIR Consultant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A9E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C0392B"/>
          <w:sz w:val="17"/>
          <w:szCs w:val="17"/>
        </w:rPr>
        <w:t xml:space="preserve">Mandiant (Google Cloud) — Denver, CO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E2E30"/>
          <w:sz w:val="19"/>
          <w:szCs w:val="19"/>
        </w:rPr>
        <w:t xml:space="preserve">Lead enterprise breach investigations end-to-end — scoping, forensic acquisition, and eradication.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E2E30"/>
          <w:sz w:val="19"/>
          <w:szCs w:val="19"/>
        </w:rPr>
        <w:t xml:space="preserve">Analyze memory and disk with Volatility and Velociraptor; reconstruct attacker timelines.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E2E30"/>
          <w:sz w:val="19"/>
          <w:szCs w:val="19"/>
        </w:rPr>
        <w:t xml:space="preserve">Brief executives and counsel; author court-ready forensic reports.</w:t>
      </w:r>
    </w:p>
    <w:p>
      <w:pPr>
        <w:spacing w:after="20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00"/>
        <w:gridCol w:w="1600"/>
      </w:tblGrid>
      <w:tr>
        <w:tc>
          <w:tcPr>
            <w:tcW w:type="dxa" w:w="90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Incident Responder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A9E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C0392B"/>
          <w:sz w:val="17"/>
          <w:szCs w:val="17"/>
        </w:rPr>
        <w:t xml:space="preserve">CrowdStrike — Denver, CO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E2E30"/>
          <w:sz w:val="19"/>
          <w:szCs w:val="19"/>
        </w:rPr>
        <w:t xml:space="preserve">Responded to 80+ ransomware and BEC incidents; reduced average containment time to under 6 hours.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E2E30"/>
          <w:sz w:val="19"/>
          <w:szCs w:val="19"/>
        </w:rPr>
        <w:t xml:space="preserve">Authored detection content and threat-hunt queries from incident findings.</w:t>
      </w:r>
    </w:p>
    <w:p>
      <w:pPr>
        <w:spacing w:after="20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00"/>
        <w:gridCol w:w="1600"/>
      </w:tblGrid>
      <w:tr>
        <w:tc>
          <w:tcPr>
            <w:tcW w:type="dxa" w:w="90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SOC Analyst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A9E"/>
                <w:sz w:val="15"/>
                <w:szCs w:val="15"/>
              </w:rPr>
              <w:t xml:space="preserve">2016 — 2018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C0392B"/>
          <w:sz w:val="17"/>
          <w:szCs w:val="17"/>
        </w:rPr>
        <w:t xml:space="preserve">Optiv Security — Denver, CO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E2E30"/>
          <w:sz w:val="19"/>
          <w:szCs w:val="19"/>
        </w:rPr>
        <w:t xml:space="preserve">Monitored SIEM alerts and performed first-line investigation and escalation.</w:t>
      </w:r>
    </w:p>
    <w:p>
      <w:pPr>
        <w:spacing w:after="0"/>
      </w:pPr>
    </w:p>
    <w:p>
      <w:pPr>
        <w:spacing w:after="60"/>
      </w:pPr>
    </w:p>
    <w:tbl>
      <w:tblPr>
        <w:tblW w:type="dxa" w:w="10600"/>
        <w:tblBorders>
          <w:top w:val="single" w:color="1C1C1E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768"/>
        <w:gridCol w:w="480"/>
        <w:gridCol w:w="4352"/>
      </w:tblGrid>
      <w:tr>
        <w:tc>
          <w:tcPr>
            <w:tcW w:type="dxa" w:w="5768"/>
            <w:tcBorders>
              <w:top w:val="none"/>
              <w:left w:val="none"/>
              <w:bottom w:val="none"/>
              <w:right w:val="single" w:color="1C1C1E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C1C1E"/>
                <w:spacing w:val="14"/>
                <w:sz w:val="17"/>
                <w:szCs w:val="17"/>
              </w:rPr>
              <w:t xml:space="preserve">## TOOLING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4F"/>
                <w:sz w:val="18"/>
                <w:szCs w:val="18"/>
              </w:rPr>
              <w:t xml:space="preserve">Volatility · Velociraptor · EnCase · FTK · Autopsy · YARA · Splunk · Python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52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C1C1E"/>
                <w:spacing w:val="14"/>
                <w:sz w:val="17"/>
                <w:szCs w:val="17"/>
              </w:rPr>
              <w:t xml:space="preserve">## EDUCATION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C1C1E"/>
                <w:sz w:val="18"/>
                <w:szCs w:val="18"/>
              </w:rPr>
              <w:t xml:space="preserve">B.S., Computer Forensics</w:t>
            </w:r>
          </w:p>
          <w:p>
            <w:r>
              <w:rPr>
                <w:rFonts w:ascii="Consolas" w:cs="Consolas" w:eastAsia="Consolas" w:hAnsi="Consolas"/>
                <w:color w:val="7A8698"/>
                <w:sz w:val="17"/>
                <w:szCs w:val="17"/>
              </w:rPr>
              <w:t xml:space="preserve">University of Colorado</w:t>
            </w:r>
          </w:p>
        </w:tc>
      </w:tr>
    </w:tbl>
    <w:sectPr>
      <w:pgSz w:w="12240" w:h="15840" w:orient="portrait"/>
      <w:pgMar w:top="760" w:right="820" w:bottom="68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E2E30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mq-clbjwp63q4v6xs6pf" Type="http://schemas.openxmlformats.org/officeDocument/2006/relationships/hyperlink" Target="mailto:ethan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2026-06-20T17:48:55.490Z</dcterms:created>
  <dcterms:modified xsi:type="dcterms:W3CDTF">2026-06-20T17:48:55.490Z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