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Consolas" w:cs="Consolas" w:eastAsia="Consolas" w:hAnsi="Consolas"/>
          <w:color w:val="2A7D8C"/>
          <w:spacing w:val="8"/>
          <w:sz w:val="15"/>
          <w:szCs w:val="15"/>
        </w:rPr>
        <w:t xml:space="preserve">—  CYBER THREAT INTELLIGENCE  —</w:t>
      </w:r>
    </w:p>
    <w:p>
      <w:pPr>
        <w:spacing w:before="90"/>
        <w:jc w:val="center"/>
      </w:pPr>
      <w:r>
        <w:rPr>
          <w:rFonts w:ascii="Trebuchet MS" w:cs="Trebuchet MS" w:eastAsia="Trebuchet MS" w:hAnsi="Trebuchet MS"/>
          <w:b/>
          <w:bCs/>
          <w:color w:val="10262A"/>
          <w:sz w:val="63"/>
          <w:szCs w:val="63"/>
        </w:rPr>
        <w:t xml:space="preserve">Maya Okonkwo</w:t>
      </w:r>
    </w:p>
    <w:p>
      <w:pPr>
        <w:spacing w:before="120"/>
        <w:jc w:val="center"/>
      </w:pPr>
      <w:r>
        <w:rPr>
          <w:rFonts w:ascii="Consolas" w:cs="Consolas" w:eastAsia="Consolas" w:hAnsi="Consolas"/>
          <w:color w:val="5A7176"/>
          <w:sz w:val="17"/>
          <w:szCs w:val="17"/>
        </w:rPr>
        <w:t xml:space="preserve">Washington, DC  ·  (202) 555-0148  ·  </w:t>
      </w:r>
      <w:hyperlink w:history="1" r:id="rId6dr2wtfw6ekbwijpxpwkt">
        <w:r>
          <w:rPr>
            <w:rFonts w:ascii="Consolas" w:cs="Consolas" w:eastAsia="Consolas" w:hAnsi="Consolas"/>
            <w:color w:val="5A7176"/>
            <w:sz w:val="17"/>
            <w:szCs w:val="17"/>
          </w:rPr>
          <w:t xml:space="preserve">maya.okonkwo@email.com</w:t>
        </w:r>
      </w:hyperlink>
      <w:r>
        <w:rPr>
          <w:rFonts w:ascii="Consolas" w:cs="Consolas" w:eastAsia="Consolas" w:hAnsi="Consolas"/>
          <w:color w:val="5A7176"/>
          <w:sz w:val="17"/>
          <w:szCs w:val="17"/>
        </w:rPr>
        <w:t xml:space="preserve">  ·  in/mayaokonkwo</w:t>
      </w:r>
    </w:p>
    <w:p>
      <w:pPr>
        <w:pBdr>
          <w:bottom w:val="single" w:color="DDE7E8" w:sz="6"/>
        </w:pBdr>
        <w:spacing w:after="0" w:before="200"/>
      </w:pPr>
      <w:r>
        <w:rPr>
          <w:sz w:val="2"/>
          <w:szCs w:val="2"/>
        </w:rPr>
        <w:t xml:space="preserve"/>
      </w:r>
    </w:p>
    <w:p>
      <w:pPr>
        <w:spacing w:after="220" w:before="200"/>
        <w:ind w:left="900" w:right="900"/>
        <w:jc w:val="center"/>
      </w:pPr>
      <w:r>
        <w:rPr>
          <w:rFonts w:ascii="Calibri" w:cs="Calibri" w:eastAsia="Calibri" w:hAnsi="Calibri"/>
          <w:color w:val="2F4044"/>
          <w:sz w:val="20"/>
          <w:szCs w:val="20"/>
        </w:rPr>
        <w:t xml:space="preserve">Cyber threat intelligence analyst who turns noise into named adversaries and actionable warning. Eight years tracking threat actors, reverse-engineering malware, and producing finished intelligence that drives detection and executive decisions across government and finance.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00"/>
        <w:gridCol w:w="240"/>
        <w:gridCol w:w="3400"/>
        <w:gridCol w:w="240"/>
        <w:gridCol w:w="3400"/>
      </w:tblGrid>
      <w:tr>
        <w:tc>
          <w:tcPr>
            <w:tcW w:type="dxa" w:w="3400"/>
            <w:tcBorders>
              <w:top w:val="single" w:color="D7E4E6" w:sz="4"/>
              <w:left w:val="single" w:color="D7E4E6" w:sz="4"/>
              <w:bottom w:val="single" w:color="D7E4E6" w:sz="4"/>
              <w:right w:val="single" w:color="D7E4E6" w:sz="4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10262A" w:color="auto" w:val="clear"/>
              <w:spacing w:after="0" w:before="0"/>
              <w:ind w:left="160" w:right="120"/>
            </w:pPr>
            <w:r>
              <w:rPr>
                <w:rFonts w:ascii="Consolas" w:cs="Consolas" w:eastAsia="Consolas" w:hAnsi="Consolas"/>
                <w:color w:val="7FD3DF"/>
                <w:spacing w:val="6"/>
                <w:sz w:val="14"/>
                <w:szCs w:val="14"/>
              </w:rPr>
              <w:t xml:space="preserve">DISCIPLINES</w:t>
            </w:r>
          </w:p>
          <w:p>
            <w:pPr>
              <w:spacing w:after="0" w:before="130" w:line="300" w:lineRule="atLeast"/>
              <w:ind w:left="160" w:right="120"/>
            </w:pP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t xml:space="preserve">Threat Hunting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Malware Analysis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OSINT &amp; HUMINT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Actor Attribution</w:t>
            </w:r>
          </w:p>
          <w:p>
            <w:pPr>
              <w:spacing w:after="120"/>
            </w:pP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00"/>
            <w:tcBorders>
              <w:top w:val="single" w:color="D7E4E6" w:sz="4"/>
              <w:left w:val="single" w:color="D7E4E6" w:sz="4"/>
              <w:bottom w:val="single" w:color="D7E4E6" w:sz="4"/>
              <w:right w:val="single" w:color="D7E4E6" w:sz="4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10262A" w:color="auto" w:val="clear"/>
              <w:spacing w:after="0" w:before="0"/>
              <w:ind w:left="160" w:right="120"/>
            </w:pPr>
            <w:r>
              <w:rPr>
                <w:rFonts w:ascii="Consolas" w:cs="Consolas" w:eastAsia="Consolas" w:hAnsi="Consolas"/>
                <w:color w:val="7FD3DF"/>
                <w:spacing w:val="6"/>
                <w:sz w:val="14"/>
                <w:szCs w:val="14"/>
              </w:rPr>
              <w:t xml:space="preserve">FRAMEWORKS</w:t>
            </w:r>
          </w:p>
          <w:p>
            <w:pPr>
              <w:spacing w:after="0" w:before="130" w:line="300" w:lineRule="atLeast"/>
              <w:ind w:left="160" w:right="120"/>
            </w:pP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t xml:space="preserve">MITRE ATT&amp;CK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Diamond Model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Cyber Kill Chain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STIX / TAXII</w:t>
            </w:r>
          </w:p>
          <w:p>
            <w:pPr>
              <w:spacing w:after="120"/>
            </w:pP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00"/>
            <w:tcBorders>
              <w:top w:val="single" w:color="D7E4E6" w:sz="4"/>
              <w:left w:val="single" w:color="D7E4E6" w:sz="4"/>
              <w:bottom w:val="single" w:color="D7E4E6" w:sz="4"/>
              <w:right w:val="single" w:color="D7E4E6" w:sz="4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10262A" w:color="auto" w:val="clear"/>
              <w:spacing w:after="0" w:before="0"/>
              <w:ind w:left="160" w:right="120"/>
            </w:pPr>
            <w:r>
              <w:rPr>
                <w:rFonts w:ascii="Consolas" w:cs="Consolas" w:eastAsia="Consolas" w:hAnsi="Consolas"/>
                <w:color w:val="7FD3DF"/>
                <w:spacing w:val="6"/>
                <w:sz w:val="14"/>
                <w:szCs w:val="14"/>
              </w:rPr>
              <w:t xml:space="preserve">PLATFORMS</w:t>
            </w:r>
          </w:p>
          <w:p>
            <w:pPr>
              <w:spacing w:after="0" w:before="130" w:line="300" w:lineRule="atLeast"/>
              <w:ind w:left="160" w:right="120"/>
            </w:pP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t xml:space="preserve">MISP · Recorded Future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Maltego · VirusTotal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Shodan · Censys</w:t>
            </w:r>
            <w:r>
              <w:rPr>
                <w:rFonts w:ascii="Calibri" w:cs="Calibri" w:eastAsia="Calibri" w:hAnsi="Calibri"/>
                <w:color w:val="2F4044"/>
                <w:sz w:val="17"/>
                <w:szCs w:val="17"/>
              </w:rPr>
              <w:br/>
              <w:t xml:space="preserve">IDA / Ghidra</w:t>
            </w:r>
          </w:p>
          <w:p>
            <w:pPr>
              <w:spacing w:after="120"/>
            </w:pPr>
          </w:p>
        </w:tc>
      </w:tr>
    </w:tbl>
    <w:p>
      <w:pPr>
        <w:spacing w:after="170"/>
      </w:pPr>
    </w:p>
    <w:p>
      <w:pPr>
        <w:pBdr>
          <w:bottom w:val="single" w:color="2A7D8C" w:sz="16"/>
        </w:pBdr>
        <w:spacing w:after="130"/>
      </w:pPr>
      <w:r>
        <w:rPr>
          <w:rFonts w:ascii="Trebuchet MS" w:cs="Trebuchet MS" w:eastAsia="Trebuchet MS" w:hAnsi="Trebuchet MS"/>
          <w:b/>
          <w:bCs/>
          <w:color w:val="10262A"/>
          <w:spacing w:val="8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80"/>
        <w:gridCol w:w="1600"/>
      </w:tblGrid>
      <w:tr>
        <w:tc>
          <w:tcPr>
            <w:tcW w:type="dxa" w:w="908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62A"/>
                <w:sz w:val="20"/>
                <w:szCs w:val="20"/>
              </w:rPr>
              <w:t xml:space="preserve">Senior Cyber Threat Intelligence Analyst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AA1A5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A7D8C"/>
          <w:sz w:val="17"/>
          <w:szCs w:val="17"/>
        </w:rPr>
        <w:t xml:space="preserve">Recorded Future — Washington, DC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Track 15+ APT and cybercrime groups; produce finished intelligence for Fortune 100 clients.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Map adversary TTPs to ATT&amp;CK and the Diamond Model, driving new detection logic for SOC teams.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Author threat-landscape briefings consumed by C-suite and board audiences.</w:t>
      </w:r>
    </w:p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80"/>
        <w:gridCol w:w="1600"/>
      </w:tblGrid>
      <w:tr>
        <w:tc>
          <w:tcPr>
            <w:tcW w:type="dxa" w:w="908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62A"/>
                <w:sz w:val="20"/>
                <w:szCs w:val="20"/>
              </w:rPr>
              <w:t xml:space="preserve">Threat Intelligence Analyst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AA1A5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A7D8C"/>
          <w:sz w:val="17"/>
          <w:szCs w:val="17"/>
        </w:rPr>
        <w:t xml:space="preserve">Mandiant — Reston, VA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Reverse-engineered malware and clustered campaigns to support attribution.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Curated IOCs and published intel to client portals and ISACs.</w:t>
      </w:r>
    </w:p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80"/>
        <w:gridCol w:w="1600"/>
      </w:tblGrid>
      <w:tr>
        <w:tc>
          <w:tcPr>
            <w:tcW w:type="dxa" w:w="908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62A"/>
                <w:sz w:val="20"/>
                <w:szCs w:val="20"/>
              </w:rPr>
              <w:t xml:space="preserve">All-Source Intelligence Analyst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AA1A5"/>
                <w:sz w:val="15"/>
                <w:szCs w:val="15"/>
              </w:rPr>
              <w:t xml:space="preserve">2014 — 2018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2A7D8C"/>
          <w:sz w:val="17"/>
          <w:szCs w:val="17"/>
        </w:rPr>
        <w:t xml:space="preserve">U.S. Army — Fort Meade, MD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Calibri" w:cs="Calibri" w:eastAsia="Calibri" w:hAnsi="Calibri"/>
          <w:color w:val="2F4044"/>
          <w:sz w:val="19"/>
          <w:szCs w:val="19"/>
        </w:rPr>
        <w:t xml:space="preserve">Produced all-source intelligence assessments; held TS/SCI clearance.</w:t>
      </w:r>
    </w:p>
    <w:p>
      <w:pPr>
        <w:spacing w:after="0"/>
      </w:pPr>
    </w:p>
    <w:p>
      <w:pPr>
        <w:spacing w:after="60"/>
      </w:pPr>
    </w:p>
    <w:tbl>
      <w:tblPr>
        <w:tblW w:type="dxa" w:w="10680"/>
        <w:tblBorders>
          <w:top w:val="single" w:color="E2EB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13"/>
        <w:gridCol w:w="480"/>
        <w:gridCol w:w="4387"/>
      </w:tblGrid>
      <w:tr>
        <w:tc>
          <w:tcPr>
            <w:tcW w:type="dxa" w:w="5813"/>
            <w:tcBorders>
              <w:top w:val="none"/>
              <w:left w:val="none"/>
              <w:bottom w:val="none"/>
              <w:right w:val="single" w:color="E2EBEC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2A7D8C"/>
                <w:spacing w:val="14"/>
                <w:sz w:val="17"/>
                <w:szCs w:val="17"/>
              </w:rPr>
              <w:t xml:space="preserve">CERTIFICATIONS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GCTI · GREM · CISSP · TS/SCI Clearance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87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2A7D8C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0262A"/>
                <w:sz w:val="18"/>
                <w:szCs w:val="18"/>
              </w:rPr>
              <w:t xml:space="preserve">B.A., International Security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Georgetown University</w:t>
            </w:r>
          </w:p>
        </w:tc>
      </w:tr>
    </w:tbl>
    <w:sectPr>
      <w:pgSz w:w="12240" w:h="15840" w:orient="portrait"/>
      <w:pgMar w:top="700" w:right="780" w:bottom="66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04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dr2wtfw6ekbwijpxpwkt" Type="http://schemas.openxmlformats.org/officeDocument/2006/relationships/hyperlink" Target="mailto:maya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2026-06-20T17:48:55.494Z</dcterms:created>
  <dcterms:modified xsi:type="dcterms:W3CDTF">2026-06-20T17:48:55.494Z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