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622"/>
                <w:sz w:val="57"/>
                <w:szCs w:val="57"/>
              </w:rPr>
              <w:t xml:space="preserve">Sofia Mendez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B2FB0"/>
                <w:spacing w:val="22"/>
                <w:sz w:val="18"/>
                <w:szCs w:val="18"/>
              </w:rPr>
              <w:t xml:space="preserve">PRODUCT &amp; MARKETING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Brooklyn, NY</w:t>
            </w: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(347)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gxlonrzaestv6wfdoon6">
              <w:r>
                <w:rPr>
                  <w:rFonts w:ascii="Calibri" w:cs="Calibri" w:eastAsia="Calibri" w:hAnsi="Calibri"/>
                  <w:color w:val="8B2FB0"/>
                  <w:sz w:val="17"/>
                  <w:szCs w:val="17"/>
                  <w:u w:val="single"/>
                </w:rPr>
                <w:t xml:space="preserve">sofia.mendez@email.com</w:t>
              </w:r>
            </w:hyperlink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in/sofiamendez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3748"/>
          <w:sz w:val="20"/>
          <w:szCs w:val="20"/>
        </w:rPr>
        <w:t xml:space="preserve">Analyst who grows products through experimentation. Five years running A/B tests, funnel analysis, and attribution to find what actually moves activation, retention, and revenue. I design clean experiments, read them honestly, and turn the winner into a shipped decision.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EED8F5" w:sz="4"/>
              <w:left w:val="single" w:color="EED8F5" w:sz="4"/>
              <w:bottom w:val="single" w:color="EED8F5" w:sz="4"/>
              <w:right w:val="single" w:color="EED8F5" w:sz="4"/>
            </w:tcBorders>
            <w:shd w:fill="F8F0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33"/>
                <w:szCs w:val="33"/>
              </w:rPr>
              <w:t xml:space="preserve">240+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A/B TESTS RUN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ED8F5" w:sz="4"/>
              <w:left w:val="single" w:color="EED8F5" w:sz="4"/>
              <w:bottom w:val="single" w:color="EED8F5" w:sz="4"/>
              <w:right w:val="single" w:color="EED8F5" w:sz="4"/>
            </w:tcBorders>
            <w:shd w:fill="F8F0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33"/>
                <w:szCs w:val="33"/>
              </w:rPr>
              <w:t xml:space="preserve">+18%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ACTIVATION LIFT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ED8F5" w:sz="4"/>
              <w:left w:val="single" w:color="EED8F5" w:sz="4"/>
              <w:bottom w:val="single" w:color="EED8F5" w:sz="4"/>
              <w:right w:val="single" w:color="EED8F5" w:sz="4"/>
            </w:tcBorders>
            <w:shd w:fill="F8F0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33"/>
                <w:szCs w:val="33"/>
              </w:rPr>
              <w:t xml:space="preserve">$5M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AD SPEND ANALYZED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ED8F5" w:sz="4"/>
              <w:left w:val="single" w:color="EED8F5" w:sz="4"/>
              <w:bottom w:val="single" w:color="EED8F5" w:sz="4"/>
              <w:right w:val="single" w:color="EED8F5" w:sz="4"/>
            </w:tcBorders>
            <w:shd w:fill="F8F0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33"/>
                <w:szCs w:val="33"/>
              </w:rPr>
              <w:t xml:space="preserve">−22%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CAC REDUCED</w:t>
            </w:r>
          </w:p>
        </w:tc>
      </w:tr>
    </w:tbl>
    <w:p>
      <w:pPr>
        <w:spacing w:after="18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00"/>
        <w:gridCol w:w="560"/>
        <w:gridCol w:w="362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8B2FB0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Senior Product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B2FB0"/>
                <w:sz w:val="18"/>
                <w:szCs w:val="18"/>
              </w:rPr>
              <w:t xml:space="preserve">Etsy — Brooklyn,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Run the experimentation program for onboarding — 240+ A/B tests that lifted activation 18%.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funnel and cohort analyses in SQL + Amplitude that reshaped the product roadmap.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Partner with PMs to size opportunities and call experiments with statistical rigor.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Marketing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B2FB0"/>
                <w:sz w:val="18"/>
                <w:szCs w:val="18"/>
              </w:rPr>
              <w:t xml:space="preserve">Warby Parker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Managed attribution across $5M in paid spend, cutting blended CAC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the marketing dashboard in Looker that unified channel performance.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Growth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B2FB0"/>
                <w:sz w:val="18"/>
                <w:szCs w:val="18"/>
              </w:rPr>
              <w:t xml:space="preserve">Casper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Analyzed email and landing-page tests to improve conversion rates.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8B2FB0"/>
                <w:spacing w:val="24"/>
                <w:sz w:val="17"/>
                <w:szCs w:val="17"/>
              </w:rPr>
              <w:t xml:space="preserve">EXPERIMENT LOG</w:t>
            </w:r>
          </w:p>
          <w:p>
            <w:pPr>
              <w:pBdr>
                <w:left w:val="single" w:color="EED8F5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17"/>
                <w:szCs w:val="17"/>
              </w:rPr>
              <w:t xml:space="preserve">+18% activation</w:t>
            </w:r>
          </w:p>
          <w:p>
            <w:pPr>
              <w:pBdr>
                <w:left w:val="single" w:color="EED8F5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Simplified 3-step signup flow</w:t>
            </w:r>
          </w:p>
          <w:p>
            <w:pPr>
              <w:pBdr>
                <w:left w:val="single" w:color="EED8F5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17"/>
                <w:szCs w:val="17"/>
              </w:rPr>
              <w:t xml:space="preserve">+11% checkout</w:t>
            </w:r>
          </w:p>
          <w:p>
            <w:pPr>
              <w:pBdr>
                <w:left w:val="single" w:color="EED8F5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Guest-checkout test on mobile</w:t>
            </w:r>
          </w:p>
          <w:p>
            <w:pPr>
              <w:pBdr>
                <w:left w:val="single" w:color="EED8F5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8B2FB0"/>
                <w:sz w:val="17"/>
                <w:szCs w:val="17"/>
              </w:rPr>
              <w:t xml:space="preserve">−22% CAC</w:t>
            </w:r>
          </w:p>
          <w:p>
            <w:pPr>
              <w:pBdr>
                <w:left w:val="single" w:color="EED8F5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Reallocated spend by attribution</w:t>
            </w:r>
          </w:p>
          <w:p>
            <w:pPr>
              <w:spacing w:after="100" w:before="240"/>
            </w:pPr>
            <w:r>
              <w:rPr>
                <w:rFonts w:ascii="Calibri" w:cs="Calibri" w:eastAsia="Calibri" w:hAnsi="Calibri"/>
                <w:b/>
                <w:bCs/>
                <w:color w:val="8B2FB0"/>
                <w:spacing w:val="24"/>
                <w:sz w:val="17"/>
                <w:szCs w:val="17"/>
              </w:rPr>
              <w:t xml:space="preserve">STACK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ANALYSIS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SQL · Python · Excel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PRODUCT &amp; MKTG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Amplitude · GA4 · Mixpanel · Meta Ads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VIZ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Looker · Tableau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8B2FB0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622"/>
                <w:sz w:val="18"/>
                <w:szCs w:val="18"/>
              </w:rPr>
              <w:t xml:space="preserve">B.A., Economics</w:t>
            </w:r>
          </w:p>
          <w:p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NYU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gxlonrzaestv6wfdoon6" Type="http://schemas.openxmlformats.org/officeDocument/2006/relationships/hyperlink" Target="mailto:sofia.mend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2026-06-19T16:01:48.685Z</dcterms:created>
  <dcterms:modified xsi:type="dcterms:W3CDTF">2026-06-19T16:01:48.685Z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