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3A3D" w:color="auto" w:val="clear"/>
            <w:tcMar>
              <w:top w:type="dxa" w:w="460"/>
              <w:left w:type="dxa" w:w="750"/>
              <w:bottom w:type="dxa" w:w="16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3"/>
                <w:szCs w:val="53"/>
              </w:rPr>
              <w:t xml:space="preserve">Marcus Johnson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5FC4B8"/>
                <w:spacing w:val="18"/>
                <w:sz w:val="18"/>
                <w:szCs w:val="18"/>
              </w:rPr>
              <w:t xml:space="preserve">LEAD DATA ANALYST · ANALYTICS MANAGER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3A3D" w:color="auto" w:val="clear"/>
            <w:tcMar>
              <w:top w:type="dxa" w:w="460"/>
              <w:left w:type="dxa" w:w="0"/>
              <w:bottom w:type="dxa" w:w="180"/>
              <w:right w:type="dxa" w:w="75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9CCC8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A9CCC8"/>
                <w:sz w:val="17"/>
                <w:szCs w:val="17"/>
              </w:rPr>
              <w:br/>
              <w:t xml:space="preserve">(404) 555-0129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hrj_ab34uysnpa0c_1gny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m.johnson@email.com</w:t>
              </w:r>
            </w:hyperlink>
            <w:r>
              <w:rPr>
                <w:rFonts w:ascii="Calibri" w:cs="Calibri" w:eastAsia="Calibri" w:hAnsi="Calibri"/>
                <w:color w:val="A9CCC8"/>
                <w:sz w:val="17"/>
                <w:szCs w:val="17"/>
              </w:rPr>
              <w:br/>
              <w:t xml:space="preserve">in/marcusjohnson</w:t>
            </w:r>
          </w:p>
        </w:tc>
      </w:tr>
      <w:tr>
        <w:tc>
          <w:tcPr>
            <w:tcW w:type="dxa" w:w="3060"/>
            <w:tcBorders>
              <w:top w:val="single" w:color="2A5557" w:sz="4"/>
              <w:left w:val="none"/>
              <w:bottom w:val="none"/>
              <w:right w:val="none"/>
            </w:tcBorders>
            <w:shd w:fill="0E3A3D" w:color="auto" w:val="clear"/>
            <w:tcMar>
              <w:top w:type="dxa" w:w="200"/>
              <w:left w:type="dxa" w:w="75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5FC4B8"/>
                <w:sz w:val="33"/>
                <w:szCs w:val="33"/>
              </w:rPr>
              <w:t xml:space="preserve">$12M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9CCC8"/>
                <w:spacing w:val="4"/>
                <w:sz w:val="12"/>
                <w:szCs w:val="12"/>
              </w:rPr>
              <w:t xml:space="preserve">IMPACT DRIVEN</w:t>
            </w:r>
          </w:p>
        </w:tc>
        <w:tc>
          <w:tcPr>
            <w:tcW w:type="dxa" w:w="3060"/>
            <w:tcBorders>
              <w:top w:val="single" w:color="2A5557" w:sz="4"/>
              <w:left w:val="single" w:color="2A5557" w:sz="4"/>
              <w:bottom w:val="none"/>
              <w:right w:val="none"/>
            </w:tcBorders>
            <w:shd w:fill="0E3A3D" w:color="auto" w:val="clear"/>
            <w:tcMar>
              <w:top w:type="dxa" w:w="200"/>
              <w:left w:type="dxa" w:w="12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5FC4B8"/>
                <w:sz w:val="33"/>
                <w:szCs w:val="33"/>
              </w:rPr>
              <w:t xml:space="preserve">8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9CCC8"/>
                <w:spacing w:val="4"/>
                <w:sz w:val="12"/>
                <w:szCs w:val="12"/>
              </w:rPr>
              <w:t xml:space="preserve">ANALYSTS LED</w:t>
            </w:r>
          </w:p>
        </w:tc>
        <w:tc>
          <w:tcPr>
            <w:tcW w:type="dxa" w:w="3060"/>
            <w:tcBorders>
              <w:top w:val="single" w:color="2A5557" w:sz="4"/>
              <w:left w:val="single" w:color="2A5557" w:sz="4"/>
              <w:bottom w:val="none"/>
              <w:right w:val="none"/>
            </w:tcBorders>
            <w:shd w:fill="0E3A3D" w:color="auto" w:val="clear"/>
            <w:tcMar>
              <w:top w:type="dxa" w:w="200"/>
              <w:left w:type="dxa" w:w="12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5FC4B8"/>
                <w:sz w:val="33"/>
                <w:szCs w:val="33"/>
              </w:rPr>
              <w:t xml:space="preserve">10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9CCC8"/>
                <w:spacing w:val="4"/>
                <w:sz w:val="12"/>
                <w:szCs w:val="12"/>
              </w:rPr>
              <w:t xml:space="preserve">IN ANALYTICS</w:t>
            </w:r>
          </w:p>
        </w:tc>
        <w:tc>
          <w:tcPr>
            <w:tcW w:type="dxa" w:w="3060"/>
            <w:tcBorders>
              <w:top w:val="single" w:color="2A5557" w:sz="4"/>
              <w:left w:val="single" w:color="2A5557" w:sz="4"/>
              <w:bottom w:val="none"/>
              <w:right w:val="none"/>
            </w:tcBorders>
            <w:shd w:fill="0E3A3D" w:color="auto" w:val="clear"/>
            <w:tcMar>
              <w:top w:type="dxa" w:w="200"/>
              <w:left w:type="dxa" w:w="12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5FC4B8"/>
                <w:sz w:val="33"/>
                <w:szCs w:val="33"/>
              </w:rPr>
              <w:t xml:space="preserve">40+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9CCC8"/>
                <w:spacing w:val="4"/>
                <w:sz w:val="12"/>
                <w:szCs w:val="12"/>
              </w:rPr>
              <w:t xml:space="preserve">STAKEHOLDERS SERVED</w:t>
            </w:r>
          </w:p>
        </w:tc>
      </w:tr>
    </w:tbl>
    <w:p>
      <w:pPr>
        <w:spacing w:after="220" w:before="300"/>
        <w:ind w:left="750" w:right="750"/>
      </w:pPr>
      <w:r>
        <w:rPr>
          <w:rFonts w:ascii="Calibri" w:cs="Calibri" w:eastAsia="Calibri" w:hAnsi="Calibri"/>
          <w:color w:val="394446"/>
          <w:sz w:val="20"/>
          <w:szCs w:val="20"/>
        </w:rPr>
        <w:t xml:space="preserve">Lead analyst who builds analytics teams and turns data into strategy. Ten years from SQL queries to leading the analysts who answer the company’s biggest questions. I set the roadmap, raise the technical bar, and make sure every dashboard ends in a decision — not just a chart.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0E3A3D"/>
          <w:spacing w:val="24"/>
          <w:sz w:val="17"/>
          <w:szCs w:val="17"/>
        </w:rPr>
        <w:t xml:space="preserve">ANALYTICS PORTFOLIO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/>
              <w:left w:val="single" w:color="0E3A3D" w:sz="18"/>
              <w:bottom w:val="none"/>
              <w:right w:val="none"/>
            </w:tcBorders>
            <w:shd w:fill="EEF5F4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Insight &amp; Strategy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KPI frameworks · exec reporting · forecasting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/>
              <w:left w:val="single" w:color="0E3A3D" w:sz="18"/>
              <w:bottom w:val="none"/>
              <w:right w:val="none"/>
            </w:tcBorders>
            <w:shd w:fill="EEF5F4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Experimentation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A/B testing · causal analysis · statistics</w:t>
            </w:r>
          </w:p>
        </w:tc>
      </w:tr>
      <w:tr>
        <w:tc>
          <w:tcPr>
            <w:tcW w:type="dxa" w:w="52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</w:tcMar>
          </w:tcPr>
          <w:p>
            <w:pPr>
              <w:spacing w:line="120" w:lineRule="exact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5270"/>
            <w:tcBorders>
              <w:top w:val="none"/>
              <w:left w:val="single" w:color="0E3A3D" w:sz="18"/>
              <w:bottom w:val="none"/>
              <w:right w:val="none"/>
            </w:tcBorders>
            <w:shd w:fill="EEF5F4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Data Platform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Snowflake · dbt · semantic layer governance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/>
              <w:left w:val="single" w:color="0E3A3D" w:sz="18"/>
              <w:bottom w:val="none"/>
              <w:right w:val="none"/>
            </w:tcBorders>
            <w:shd w:fill="EEF5F4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Team &amp; Enablement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Hiring · mentoring · self-serve analytics</w:t>
            </w:r>
          </w:p>
        </w:tc>
      </w:tr>
    </w:tbl>
    <w:p>
      <w:pPr>
        <w:spacing w:after="140" w:before="300"/>
        <w:ind w:left="750" w:right="750"/>
      </w:pPr>
      <w:r>
        <w:rPr>
          <w:rFonts w:ascii="Calibri" w:cs="Calibri" w:eastAsia="Calibri" w:hAnsi="Calibri"/>
          <w:b/>
          <w:bCs/>
          <w:color w:val="0E3A3D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2A2C"/>
                <w:sz w:val="20"/>
                <w:szCs w:val="20"/>
              </w:rPr>
              <w:t xml:space="preserve">Lead 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1A3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0E6B6F"/>
          <w:sz w:val="18"/>
          <w:szCs w:val="18"/>
        </w:rPr>
        <w:t xml:space="preserve">Mailchimp — Atlanta, GA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Lead a team of 8 analysts, driving an estimated $12M in revenue and savings through analytics.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Built the company’s KPI framework and exec dashboards, now the source of truth in board reviews.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Stood up the experimentation practice and mentored 4 analysts into senior roles.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2A2C"/>
                <w:sz w:val="20"/>
                <w:szCs w:val="20"/>
              </w:rPr>
              <w:t xml:space="preserve">Senior 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1A3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0E6B6F"/>
          <w:sz w:val="18"/>
          <w:szCs w:val="18"/>
        </w:rPr>
        <w:t xml:space="preserve">The Home Depot — Atlanta, GA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Owned supply-chain analytics, building models that cut stockouts 15% across 2,000 stores.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Mentored junior analysts on SQL, Tableau, and stakeholder communication.</w:t>
      </w:r>
    </w:p>
    <w:p>
      <w:pPr>
        <w:spacing w:after="60"/>
      </w:pPr>
    </w:p>
    <w:tbl>
      <w:tblPr>
        <w:tblW w:type="dxa" w:w="10740"/>
        <w:tblInd w:type="dxa" w:w="750"/>
        <w:tblBorders>
          <w:top w:val="single" w:color="E2EAE9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58"/>
        <w:gridCol w:w="4882"/>
      </w:tblGrid>
      <w:tr>
        <w:tc>
          <w:tcPr>
            <w:tcW w:type="dxa" w:w="5858"/>
            <w:tcBorders>
              <w:top w:val="none" w:color="FFFFFF" w:sz="0"/>
              <w:left w:val="none" w:color="FFFFFF" w:sz="0"/>
              <w:bottom w:val="none" w:color="FFFFFF" w:sz="0"/>
              <w:right w:val="single" w:color="E2EAE9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3A3D"/>
                <w:spacing w:val="16"/>
                <w:sz w:val="17"/>
                <w:szCs w:val="17"/>
              </w:rPr>
              <w:t xml:space="preserve">TECHNICAL STACK</w:t>
            </w:r>
          </w:p>
          <w:p>
            <w:r>
              <w:rPr>
                <w:rFonts w:ascii="Consolas" w:cs="Consolas" w:eastAsia="Consolas" w:hAnsi="Consolas"/>
                <w:color w:val="394446"/>
                <w:sz w:val="17"/>
                <w:szCs w:val="17"/>
              </w:rPr>
              <w:t xml:space="preserve">SQL · Python · Snowflake · dbt · Tableau · Looker</w:t>
            </w:r>
          </w:p>
        </w:tc>
        <w:tc>
          <w:tcPr>
            <w:tcW w:type="dxa" w:w="4882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3A3D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M.S., Analytics — Georgia Tech</w:t>
            </w:r>
          </w:p>
          <w:p>
            <w:r>
              <w:rPr>
                <w:rFonts w:ascii="Calibri" w:cs="Calibri" w:eastAsia="Calibri" w:hAnsi="Calibri"/>
                <w:color w:val="394446"/>
                <w:sz w:val="18"/>
                <w:szCs w:val="18"/>
              </w:rPr>
              <w:t xml:space="preserve">B.S., Economics — Emory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4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rj_ab34uysnpa0c_1gny" Type="http://schemas.openxmlformats.org/officeDocument/2006/relationships/hyperlink" Target="mailto:m.john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2026-06-19T16:01:48.699Z</dcterms:created>
  <dcterms:modified xsi:type="dcterms:W3CDTF">2026-06-19T16:01:48.699Z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