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220"/>
        <w:gridCol w:w="3500"/>
      </w:tblGrid>
      <w:tr>
        <w:tc>
          <w:tcPr>
            <w:tcW w:type="dxa" w:w="7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bottom"/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color w:val="44566A"/>
                <w:spacing w:val="5"/>
                <w:sz w:val="17"/>
                <w:szCs w:val="17"/>
              </w:rPr>
              <w:t xml:space="preserve">DATA SCIENTIST · ML ENGINEERING</w:t>
            </w:r>
          </w:p>
          <w:p>
            <w:r>
              <w:rPr>
                <w:rFonts w:ascii="Trebuchet MS" w:cs="Trebuchet MS" w:eastAsia="Trebuchet MS" w:hAnsi="Trebuchet MS"/>
                <w:b/>
                <w:bCs/>
                <w:color w:val="1E2530"/>
                <w:sz w:val="48"/>
                <w:szCs w:val="48"/>
              </w:rPr>
              <w:t xml:space="preserve">Daniel Reyes</w:t>
            </w:r>
          </w:p>
        </w:tc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bottom"/>
          </w:tcPr>
          <w:p>
            <w:pPr>
              <w:spacing w:line="255" w:lineRule="atLeast"/>
              <w:jc w:val="right"/>
            </w:pPr>
            <w:r>
              <w:rPr>
                <w:rFonts w:ascii="Calibri" w:cs="Calibri" w:eastAsia="Calibri" w:hAnsi="Calibri"/>
                <w:color w:val="7E8794"/>
                <w:sz w:val="16"/>
                <w:szCs w:val="16"/>
              </w:rPr>
              <w:t xml:space="preserve">Seattle, WA</w:t>
            </w:r>
            <w:r>
              <w:rPr>
                <w:rFonts w:ascii="Calibri" w:cs="Calibri" w:eastAsia="Calibri" w:hAnsi="Calibri"/>
                <w:color w:val="7E8794"/>
                <w:sz w:val="16"/>
                <w:szCs w:val="16"/>
              </w:rPr>
              <w:br/>
              <w:t xml:space="preserve">(206) 555-0124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1iiiz5g45xszkkvi_ondu">
              <w:r>
                <w:rPr>
                  <w:rFonts w:ascii="Calibri" w:cs="Calibri" w:eastAsia="Calibri" w:hAnsi="Calibri"/>
                  <w:color w:val="44566A"/>
                  <w:sz w:val="16"/>
                  <w:szCs w:val="16"/>
                  <w:u w:val="single"/>
                </w:rPr>
                <w:t xml:space="preserve">daniel.reyes@email.com</w:t>
              </w:r>
            </w:hyperlink>
          </w:p>
        </w:tc>
      </w:tr>
    </w:tbl>
    <w:p>
      <w:pPr>
        <w:spacing w:after="150"/>
      </w:pPr>
    </w:p>
    <w:p>
      <w:pPr>
        <w:spacing w:after="90"/>
      </w:pPr>
      <w:r>
        <w:rPr>
          <w:rFonts w:ascii="Consolas" w:cs="Consolas" w:eastAsia="Consolas" w:hAnsi="Consolas"/>
          <w:b/>
          <w:bCs/>
          <w:color w:val="7E8794"/>
          <w:spacing w:val="6"/>
          <w:sz w:val="13"/>
          <w:szCs w:val="13"/>
        </w:rPr>
        <w:t xml:space="preserve">PRODUCTION ML LIFECYCLE</w:t>
      </w: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08"/>
        <w:gridCol w:w="420"/>
        <w:gridCol w:w="1808"/>
        <w:gridCol w:w="420"/>
        <w:gridCol w:w="1808"/>
        <w:gridCol w:w="420"/>
        <w:gridCol w:w="1808"/>
        <w:gridCol w:w="420"/>
        <w:gridCol w:w="1808"/>
      </w:tblGrid>
      <w:tr>
        <w:tc>
          <w:tcPr>
            <w:tcW w:type="dxa" w:w="18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4566A" w:color="auto" w:val="clear"/>
            <w:tcMar>
              <w:top w:type="dxa" w:w="130"/>
              <w:left w:type="dxa" w:w="90"/>
              <w:bottom w:type="dxa" w:w="130"/>
              <w:right w:type="dxa" w:w="90"/>
            </w:tcMar>
            <w:vAlign w:val="center"/>
          </w:tcPr>
          <w:p>
            <w:pPr>
              <w:spacing w:after="8"/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19"/>
                <w:szCs w:val="19"/>
              </w:rPr>
              <w:t xml:space="preserve">Data</w:t>
            </w:r>
          </w:p>
          <w:p>
            <w:pPr>
              <w:jc w:val="center"/>
            </w:pPr>
            <w:r>
              <w:rPr>
                <w:rFonts w:ascii="Consolas" w:cs="Consolas" w:eastAsia="Consolas" w:hAnsi="Consolas"/>
                <w:color w:val="C2CCD6"/>
                <w:sz w:val="12"/>
                <w:szCs w:val="12"/>
              </w:rPr>
              <w:t xml:space="preserve">Ingest · ETL</w:t>
            </w:r>
          </w:p>
        </w:tc>
        <w:tc>
          <w:tcPr>
            <w:tcW w:type="dxa" w:w="4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4566A"/>
                <w:sz w:val="17"/>
                <w:szCs w:val="17"/>
              </w:rPr>
              <w:t xml:space="preserve">▶</w:t>
            </w:r>
          </w:p>
        </w:tc>
        <w:tc>
          <w:tcPr>
            <w:tcW w:type="dxa" w:w="18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4566A" w:color="auto" w:val="clear"/>
            <w:tcMar>
              <w:top w:type="dxa" w:w="130"/>
              <w:left w:type="dxa" w:w="90"/>
              <w:bottom w:type="dxa" w:w="130"/>
              <w:right w:type="dxa" w:w="90"/>
            </w:tcMar>
            <w:vAlign w:val="center"/>
          </w:tcPr>
          <w:p>
            <w:pPr>
              <w:spacing w:after="8"/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19"/>
                <w:szCs w:val="19"/>
              </w:rPr>
              <w:t xml:space="preserve">Features</w:t>
            </w:r>
          </w:p>
          <w:p>
            <w:pPr>
              <w:jc w:val="center"/>
            </w:pPr>
            <w:r>
              <w:rPr>
                <w:rFonts w:ascii="Consolas" w:cs="Consolas" w:eastAsia="Consolas" w:hAnsi="Consolas"/>
                <w:color w:val="C2CCD6"/>
                <w:sz w:val="12"/>
                <w:szCs w:val="12"/>
              </w:rPr>
              <w:t xml:space="preserve">Pipelines</w:t>
            </w:r>
          </w:p>
        </w:tc>
        <w:tc>
          <w:tcPr>
            <w:tcW w:type="dxa" w:w="4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4566A"/>
                <w:sz w:val="17"/>
                <w:szCs w:val="17"/>
              </w:rPr>
              <w:t xml:space="preserve">▶</w:t>
            </w:r>
          </w:p>
        </w:tc>
        <w:tc>
          <w:tcPr>
            <w:tcW w:type="dxa" w:w="18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4566A" w:color="auto" w:val="clear"/>
            <w:tcMar>
              <w:top w:type="dxa" w:w="130"/>
              <w:left w:type="dxa" w:w="90"/>
              <w:bottom w:type="dxa" w:w="130"/>
              <w:right w:type="dxa" w:w="90"/>
            </w:tcMar>
            <w:vAlign w:val="center"/>
          </w:tcPr>
          <w:p>
            <w:pPr>
              <w:spacing w:after="8"/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19"/>
                <w:szCs w:val="19"/>
              </w:rPr>
              <w:t xml:space="preserve">Train</w:t>
            </w:r>
          </w:p>
          <w:p>
            <w:pPr>
              <w:jc w:val="center"/>
            </w:pPr>
            <w:r>
              <w:rPr>
                <w:rFonts w:ascii="Consolas" w:cs="Consolas" w:eastAsia="Consolas" w:hAnsi="Consolas"/>
                <w:color w:val="C2CCD6"/>
                <w:sz w:val="12"/>
                <w:szCs w:val="12"/>
              </w:rPr>
              <w:t xml:space="preserve">Experiments</w:t>
            </w:r>
          </w:p>
        </w:tc>
        <w:tc>
          <w:tcPr>
            <w:tcW w:type="dxa" w:w="4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4566A"/>
                <w:sz w:val="17"/>
                <w:szCs w:val="17"/>
              </w:rPr>
              <w:t xml:space="preserve">▶</w:t>
            </w:r>
          </w:p>
        </w:tc>
        <w:tc>
          <w:tcPr>
            <w:tcW w:type="dxa" w:w="18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4566A" w:color="auto" w:val="clear"/>
            <w:tcMar>
              <w:top w:type="dxa" w:w="130"/>
              <w:left w:type="dxa" w:w="90"/>
              <w:bottom w:type="dxa" w:w="130"/>
              <w:right w:type="dxa" w:w="90"/>
            </w:tcMar>
            <w:vAlign w:val="center"/>
          </w:tcPr>
          <w:p>
            <w:pPr>
              <w:spacing w:after="8"/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19"/>
                <w:szCs w:val="19"/>
              </w:rPr>
              <w:t xml:space="preserve">Deploy</w:t>
            </w:r>
          </w:p>
          <w:p>
            <w:pPr>
              <w:jc w:val="center"/>
            </w:pPr>
            <w:r>
              <w:rPr>
                <w:rFonts w:ascii="Consolas" w:cs="Consolas" w:eastAsia="Consolas" w:hAnsi="Consolas"/>
                <w:color w:val="C2CCD6"/>
                <w:sz w:val="12"/>
                <w:szCs w:val="12"/>
              </w:rPr>
              <w:t xml:space="preserve">CI/CD</w:t>
            </w:r>
          </w:p>
        </w:tc>
        <w:tc>
          <w:tcPr>
            <w:tcW w:type="dxa" w:w="4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44566A"/>
                <w:sz w:val="17"/>
                <w:szCs w:val="17"/>
              </w:rPr>
              <w:t xml:space="preserve">▶</w:t>
            </w:r>
          </w:p>
        </w:tc>
        <w:tc>
          <w:tcPr>
            <w:tcW w:type="dxa" w:w="18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4566A" w:color="auto" w:val="clear"/>
            <w:tcMar>
              <w:top w:type="dxa" w:w="130"/>
              <w:left w:type="dxa" w:w="90"/>
              <w:bottom w:type="dxa" w:w="130"/>
              <w:right w:type="dxa" w:w="90"/>
            </w:tcMar>
            <w:vAlign w:val="center"/>
          </w:tcPr>
          <w:p>
            <w:pPr>
              <w:spacing w:after="8"/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19"/>
                <w:szCs w:val="19"/>
              </w:rPr>
              <w:t xml:space="preserve">Monitor</w:t>
            </w:r>
          </w:p>
          <w:p>
            <w:pPr>
              <w:jc w:val="center"/>
            </w:pPr>
            <w:r>
              <w:rPr>
                <w:rFonts w:ascii="Consolas" w:cs="Consolas" w:eastAsia="Consolas" w:hAnsi="Consolas"/>
                <w:color w:val="C2CCD6"/>
                <w:sz w:val="12"/>
                <w:szCs w:val="12"/>
              </w:rPr>
              <w:t xml:space="preserve">Drift · Alerts</w:t>
            </w:r>
          </w:p>
        </w:tc>
      </w:tr>
    </w:tbl>
    <w:p>
      <w:pPr>
        <w:spacing w:after="40"/>
      </w:pPr>
    </w:p>
    <w:p>
      <w:pPr>
        <w:spacing w:after="160" w:before="170"/>
      </w:pPr>
      <w:r>
        <w:rPr>
          <w:rFonts w:ascii="Calibri" w:cs="Calibri" w:eastAsia="Calibri" w:hAnsi="Calibri"/>
          <w:color w:val="39414C"/>
          <w:sz w:val="20"/>
          <w:szCs w:val="20"/>
        </w:rPr>
        <w:t xml:space="preserve">Data scientist who lives where modeling meets production. Six years building and shipping ML systems end-to-end — feature pipelines, training infrastructure, and the MLOps that keeps models healthy in prod. I care as much about reproducibility and monitoring as about model accuracy.</w:t>
      </w:r>
    </w:p>
    <w:p>
      <w:pPr>
        <w:spacing w:after="120" w:before="0"/>
      </w:pPr>
      <w:r>
        <w:rPr>
          <w:rFonts w:ascii="Trebuchet MS" w:cs="Trebuchet MS" w:eastAsia="Trebuchet MS" w:hAnsi="Trebuchet MS"/>
          <w:b/>
          <w:bCs/>
          <w:color w:val="44566A"/>
          <w:sz w:val="23"/>
          <w:szCs w:val="23"/>
        </w:rPr>
        <w:t xml:space="preserve">Technical Stack</w:t>
      </w: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00"/>
        <w:gridCol w:w="8320"/>
      </w:tblGrid>
      <w:tr>
        <w:tc>
          <w:tcPr>
            <w:tcW w:type="dxa" w:w="2400"/>
            <w:tcBorders>
              <w:top w:val="none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44566A"/>
                <w:spacing w:val="6"/>
                <w:sz w:val="14"/>
                <w:szCs w:val="14"/>
              </w:rPr>
              <w:t xml:space="preserve">LANGUAGES</w:t>
            </w:r>
          </w:p>
        </w:tc>
        <w:tc>
          <w:tcPr>
            <w:tcW w:type="dxa" w:w="8320"/>
            <w:tcBorders>
              <w:top w:val="none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39414C"/>
                <w:sz w:val="17"/>
                <w:szCs w:val="17"/>
              </w:rPr>
              <w:t xml:space="preserve">Python · SQL · Go · Bash</w:t>
            </w:r>
          </w:p>
        </w:tc>
      </w:tr>
      <w:tr>
        <w:tc>
          <w:tcPr>
            <w:tcW w:type="dxa" w:w="2400"/>
            <w:tcBorders>
              <w:top w:val="single" w:color="D5DCE4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44566A"/>
                <w:spacing w:val="6"/>
                <w:sz w:val="14"/>
                <w:szCs w:val="14"/>
              </w:rPr>
              <w:t xml:space="preserve">ML / MODELING</w:t>
            </w:r>
          </w:p>
        </w:tc>
        <w:tc>
          <w:tcPr>
            <w:tcW w:type="dxa" w:w="8320"/>
            <w:tcBorders>
              <w:top w:val="single" w:color="D5DCE4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39414C"/>
                <w:sz w:val="17"/>
                <w:szCs w:val="17"/>
              </w:rPr>
              <w:t xml:space="preserve">scikit-learn · PyTorch · XGBoost · LightGBM</w:t>
            </w:r>
          </w:p>
        </w:tc>
      </w:tr>
      <w:tr>
        <w:tc>
          <w:tcPr>
            <w:tcW w:type="dxa" w:w="2400"/>
            <w:tcBorders>
              <w:top w:val="single" w:color="D5DCE4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44566A"/>
                <w:spacing w:val="6"/>
                <w:sz w:val="14"/>
                <w:szCs w:val="14"/>
              </w:rPr>
              <w:t xml:space="preserve">MLOPS</w:t>
            </w:r>
          </w:p>
        </w:tc>
        <w:tc>
          <w:tcPr>
            <w:tcW w:type="dxa" w:w="8320"/>
            <w:tcBorders>
              <w:top w:val="single" w:color="D5DCE4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39414C"/>
                <w:sz w:val="17"/>
                <w:szCs w:val="17"/>
              </w:rPr>
              <w:t xml:space="preserve">MLflow · Airflow · Kubeflow · Docker · Kubernetes</w:t>
            </w:r>
          </w:p>
        </w:tc>
      </w:tr>
      <w:tr>
        <w:tc>
          <w:tcPr>
            <w:tcW w:type="dxa" w:w="2400"/>
            <w:tcBorders>
              <w:top w:val="single" w:color="D5DCE4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44566A"/>
                <w:spacing w:val="6"/>
                <w:sz w:val="14"/>
                <w:szCs w:val="14"/>
              </w:rPr>
              <w:t xml:space="preserve">DATA / CLOUD</w:t>
            </w:r>
          </w:p>
        </w:tc>
        <w:tc>
          <w:tcPr>
            <w:tcW w:type="dxa" w:w="8320"/>
            <w:tcBorders>
              <w:top w:val="single" w:color="D5DCE4" w:sz="3"/>
              <w:left w:val="none"/>
              <w:bottom w:val="none"/>
              <w:right w:val="none"/>
            </w:tcBorders>
            <w:tcMar>
              <w:top w:type="dxa" w:w="90"/>
              <w:left w:type="dxa" w:w="0"/>
              <w:bottom w:type="dxa" w:w="90"/>
              <w:right w:type="dxa" w:w="0"/>
            </w:tcMar>
            <w:vAlign w:val="top"/>
          </w:tcPr>
          <w:p>
            <w:r>
              <w:rPr>
                <w:rFonts w:ascii="Consolas" w:cs="Consolas" w:eastAsia="Consolas" w:hAnsi="Consolas"/>
                <w:color w:val="39414C"/>
                <w:sz w:val="17"/>
                <w:szCs w:val="17"/>
              </w:rPr>
              <w:t xml:space="preserve">Spark · Kafka · Snowflake · AWS · GCP</w:t>
            </w:r>
          </w:p>
        </w:tc>
      </w:tr>
    </w:tbl>
    <w:p>
      <w:pPr>
        <w:spacing w:after="140" w:before="230"/>
      </w:pPr>
      <w:r>
        <w:rPr>
          <w:rFonts w:ascii="Trebuchet MS" w:cs="Trebuchet MS" w:eastAsia="Trebuchet MS" w:hAnsi="Trebuchet MS"/>
          <w:b/>
          <w:bCs/>
          <w:color w:val="44566A"/>
          <w:sz w:val="23"/>
          <w:szCs w:val="23"/>
        </w:rPr>
        <w:t xml:space="preserve">Experience</w:t>
      </w: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E2530"/>
                <w:sz w:val="20"/>
                <w:szCs w:val="20"/>
              </w:rPr>
              <w:t xml:space="preserve">Machine Learning Engineer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AA0A6"/>
                <w:sz w:val="16"/>
                <w:szCs w:val="16"/>
              </w:rPr>
              <w:t xml:space="preserve">2020 — Present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44566A"/>
          <w:sz w:val="18"/>
          <w:szCs w:val="18"/>
        </w:rPr>
        <w:t xml:space="preserve">Zillow — Seattle, WA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Built and own the feature store and training pipelines (Airflow + MLflow) behind the Zestimate.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Deployed models on Kubernetes with automated retraining, drift detection, and rollback.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Cut model deployment time from 2 weeks to 1 day with a standardized CI/CD template.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E2530"/>
                <w:sz w:val="20"/>
                <w:szCs w:val="20"/>
              </w:rPr>
              <w:t xml:space="preserve">Data Scientist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AA0A6"/>
                <w:sz w:val="16"/>
                <w:szCs w:val="16"/>
              </w:rPr>
              <w:t xml:space="preserve">2018 — 2020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44566A"/>
          <w:sz w:val="18"/>
          <w:szCs w:val="18"/>
        </w:rPr>
        <w:t xml:space="preserve">Expedia — Seattle, WA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Built ranking and recommendation models served at scale via Spark and Kafka.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Instrumented monitoring that caught feature drift before it hit revenue.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20"/>
        <w:gridCol w:w="1500"/>
      </w:tblGrid>
      <w:tr>
        <w:tc>
          <w:tcPr>
            <w:tcW w:type="dxa" w:w="9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E2530"/>
                <w:sz w:val="20"/>
                <w:szCs w:val="20"/>
              </w:rPr>
              <w:t xml:space="preserve">Data Analyst → DS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9AA0A6"/>
                <w:sz w:val="16"/>
                <w:szCs w:val="16"/>
              </w:rPr>
              <w:t xml:space="preserve">2016 — 2018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44566A"/>
          <w:sz w:val="18"/>
          <w:szCs w:val="18"/>
        </w:rPr>
        <w:t xml:space="preserve">Nordstrom — Seattle, WA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9414C"/>
          <w:sz w:val="19"/>
          <w:szCs w:val="19"/>
        </w:rPr>
        <w:t xml:space="preserve">Moved from analytics to modeling; built the team's first churn model in scikit-learn.</w:t>
      </w:r>
    </w:p>
    <w:p>
      <w:pPr>
        <w:spacing w:after="80"/>
      </w:pPr>
    </w:p>
    <w:tbl>
      <w:tblPr>
        <w:tblW w:type="dxa" w:w="10720"/>
        <w:tblBorders>
          <w:top w:val="single" w:color="D5DCE4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60"/>
        <w:gridCol w:w="5360"/>
      </w:tblGrid>
      <w:tr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44566A"/>
                <w:spacing w:val="12"/>
                <w:sz w:val="16"/>
                <w:szCs w:val="16"/>
              </w:rPr>
              <w:t xml:space="preserve">EDUCATION</w:t>
            </w:r>
          </w:p>
          <w:p>
            <w:r>
              <w:rPr>
                <w:rFonts w:ascii="Calibri" w:cs="Calibri" w:eastAsia="Calibri" w:hAnsi="Calibri"/>
                <w:color w:val="39414C"/>
                <w:sz w:val="17"/>
                <w:szCs w:val="17"/>
              </w:rPr>
              <w:t xml:space="preserve">M.S., Computer Science — University of Washington · B.S., Math</w:t>
            </w:r>
          </w:p>
        </w:tc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44566A"/>
                <w:spacing w:val="12"/>
                <w:sz w:val="16"/>
                <w:szCs w:val="16"/>
              </w:rPr>
              <w:t xml:space="preserve">CERTIFICATIONS</w:t>
            </w:r>
          </w:p>
          <w:p>
            <w:r>
              <w:rPr>
                <w:rFonts w:ascii="Consolas" w:cs="Consolas" w:eastAsia="Consolas" w:hAnsi="Consolas"/>
                <w:color w:val="39414C"/>
                <w:sz w:val="17"/>
                <w:szCs w:val="17"/>
              </w:rPr>
              <w:t xml:space="preserve">AWS ML Specialty · TensorFlow Developer · CKA (Kubernetes)</w:t>
            </w:r>
          </w:p>
        </w:tc>
      </w:tr>
    </w:tbl>
    <w:sectPr>
      <w:pgSz w:w="12240" w:h="15840" w:orient="portrait"/>
      <w:pgMar w:top="760" w:right="760" w:bottom="760" w:left="7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14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1iiiz5g45xszkkvi_ondu" Type="http://schemas.openxmlformats.org/officeDocument/2006/relationships/hyperlink" Target="mailto:daniel.reye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2026-06-24T20:24:07.279Z</dcterms:created>
  <dcterms:modified xsi:type="dcterms:W3CDTF">2026-06-24T20:24:07.279Z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