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single" w:color="0F2740" w:sz="12"/>
          <w:left w:val="single" w:color="0F2740" w:sz="12"/>
          <w:bottom w:val="single" w:color="0F2740" w:sz="12"/>
          <w:right w:val="single" w:color="0F2740" w:sz="12"/>
          <w:insideH w:val="none"/>
          <w:insideV w:val="none"/>
        </w:tblBorders>
        <w:tblLayout w:type="fixed"/>
      </w:tblPr>
      <w:tblGrid>
        <w:gridCol w:w="6640"/>
        <w:gridCol w:w="4200"/>
      </w:tblGrid>
      <w:tr>
        <w:tc>
          <w:tcPr>
            <w:tcW w:type="dxa" w:w="6640"/>
            <w:tcBorders>
              <w:top w:val="none"/>
              <w:left w:val="none"/>
              <w:bottom w:val="none"/>
              <w:right w:val="single" w:color="CDD9E6" w:sz="4"/>
            </w:tcBorders>
            <w:shd w:fill="FFFFFF" w:color="auto" w:val="clear"/>
            <w:tcMar>
              <w:top w:type="dxa" w:w="240"/>
              <w:left w:type="dxa" w:w="300"/>
              <w:bottom w:type="dxa" w:w="240"/>
              <w:right w:type="dxa" w:w="200"/>
            </w:tcMar>
            <w:vAlign w:val="center"/>
          </w:tcPr>
          <w:p>
            <w:r>
              <w:rPr>
                <w:rFonts w:ascii="Consolas" w:cs="Consolas" w:eastAsia="Consolas" w:hAnsi="Consolas"/>
                <w:color w:val="1488C4"/>
                <w:spacing w:val="4"/>
                <w:sz w:val="15"/>
                <w:szCs w:val="15"/>
              </w:rPr>
              <w:t xml:space="preserve">CLOUD INFRASTRUCTURE ENGINEER</w:t>
            </w:r>
          </w:p>
          <w:p>
            <w:pPr>
              <w:spacing w:before="60"/>
            </w:pPr>
            <w:r>
              <w:rPr>
                <w:rFonts w:ascii="Trebuchet MS" w:cs="Trebuchet MS" w:eastAsia="Trebuchet MS" w:hAnsi="Trebuchet MS"/>
                <w:b/>
                <w:bCs/>
                <w:color w:val="0A1F33"/>
                <w:sz w:val="51"/>
                <w:szCs w:val="51"/>
              </w:rPr>
              <w:t xml:space="preserve">Tara Brennan</w:t>
            </w:r>
          </w:p>
        </w:tc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  <w:shd w:fill="FFFFFF" w:color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tbl>
            <w:tblPr>
              <w:tblW w:type="dxa" w:w="4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100"/>
              <w:gridCol w:w="2100"/>
            </w:tblGrid>
            <w:tr>
              <w:tc>
                <w:tcPr>
                  <w:tcW w:type="dxa" w:w="100"/>
                  <w:tcBorders>
                    <w:top w:val="none"/>
                    <w:left w:val="none"/>
                    <w:bottom w:val="single" w:color="CDD9E6" w:sz="4"/>
                    <w:right w:val="single" w:color="CDD9E6" w:sz="4"/>
                  </w:tcBorders>
                  <w:tcMar>
                    <w:top w:type="dxa" w:w="90"/>
                    <w:left w:type="dxa" w:w="140"/>
                    <w:bottom w:type="dxa" w:w="90"/>
                    <w:right w:type="dxa" w:w="80"/>
                  </w:tcMar>
                  <w:vAlign w:val="center"/>
                </w:tcPr>
                <w:p>
                  <w:r>
                    <w:rPr>
                      <w:rFonts w:ascii="Consolas" w:cs="Consolas" w:eastAsia="Consolas" w:hAnsi="Consolas"/>
                      <w:color w:val="7D93A8"/>
                      <w:spacing w:val="4"/>
                      <w:sz w:val="12"/>
                      <w:szCs w:val="12"/>
                    </w:rPr>
                    <w:t xml:space="preserve">LOCATION</w:t>
                  </w:r>
                </w:p>
                <w:p>
                  <w:pPr>
                    <w:spacing w:before="10"/>
                  </w:pPr>
                  <w:r>
                    <w:rPr>
                      <w:rFonts w:ascii="Consolas" w:cs="Consolas" w:eastAsia="Consolas" w:hAnsi="Consolas"/>
                      <w:color w:val="0F2740"/>
                      <w:sz w:val="16"/>
                      <w:szCs w:val="16"/>
                    </w:rPr>
                    <w:t xml:space="preserve">Denver, CO</w:t>
                  </w:r>
                </w:p>
              </w:tc>
              <w:tc>
                <w:tcPr>
                  <w:tcW w:type="dxa" w:w="100"/>
                  <w:tcBorders>
                    <w:top w:val="none"/>
                    <w:left w:val="none"/>
                    <w:bottom w:val="single" w:color="CDD9E6" w:sz="4"/>
                    <w:right w:val="none"/>
                  </w:tcBorders>
                  <w:tcMar>
                    <w:top w:type="dxa" w:w="90"/>
                    <w:left w:type="dxa" w:w="140"/>
                    <w:bottom w:type="dxa" w:w="90"/>
                    <w:right w:type="dxa" w:w="80"/>
                  </w:tcMar>
                  <w:vAlign w:val="center"/>
                </w:tcPr>
                <w:p>
                  <w:r>
                    <w:rPr>
                      <w:rFonts w:ascii="Consolas" w:cs="Consolas" w:eastAsia="Consolas" w:hAnsi="Consolas"/>
                      <w:color w:val="7D93A8"/>
                      <w:spacing w:val="4"/>
                      <w:sz w:val="12"/>
                      <w:szCs w:val="12"/>
                    </w:rPr>
                    <w:t xml:space="preserve">EXP</w:t>
                  </w:r>
                </w:p>
                <w:p>
                  <w:pPr>
                    <w:spacing w:before="10"/>
                  </w:pPr>
                  <w:r>
                    <w:rPr>
                      <w:rFonts w:ascii="Consolas" w:cs="Consolas" w:eastAsia="Consolas" w:hAnsi="Consolas"/>
                      <w:color w:val="0F2740"/>
                      <w:sz w:val="16"/>
                      <w:szCs w:val="16"/>
                    </w:rPr>
                    <w:t xml:space="preserve">10 yrs</w:t>
                  </w:r>
                </w:p>
              </w:tc>
            </w:tr>
            <w:tr>
              <w:tc>
                <w:tcPr>
                  <w:tcW w:type="dxa" w:w="100"/>
                  <w:tcBorders>
                    <w:top w:val="none"/>
                    <w:left w:val="none"/>
                    <w:bottom w:val="none"/>
                    <w:right w:val="single" w:color="CDD9E6" w:sz="4"/>
                  </w:tcBorders>
                  <w:tcMar>
                    <w:top w:type="dxa" w:w="90"/>
                    <w:left w:type="dxa" w:w="140"/>
                    <w:bottom w:type="dxa" w:w="90"/>
                    <w:right w:type="dxa" w:w="80"/>
                  </w:tcMar>
                  <w:vAlign w:val="center"/>
                </w:tcPr>
                <w:p>
                  <w:r>
                    <w:rPr>
                      <w:rFonts w:ascii="Consolas" w:cs="Consolas" w:eastAsia="Consolas" w:hAnsi="Consolas"/>
                      <w:color w:val="7D93A8"/>
                      <w:spacing w:val="4"/>
                      <w:sz w:val="12"/>
                      <w:szCs w:val="12"/>
                    </w:rPr>
                    <w:t xml:space="preserve">PHONE</w:t>
                  </w:r>
                </w:p>
                <w:p>
                  <w:pPr>
                    <w:spacing w:before="10"/>
                  </w:pPr>
                  <w:r>
                    <w:rPr>
                      <w:rFonts w:ascii="Consolas" w:cs="Consolas" w:eastAsia="Consolas" w:hAnsi="Consolas"/>
                      <w:color w:val="0F2740"/>
                      <w:sz w:val="16"/>
                      <w:szCs w:val="16"/>
                    </w:rPr>
                    <w:t xml:space="preserve">555-0191</w:t>
                  </w:r>
                </w:p>
              </w:tc>
              <w:tc>
                <w:tcPr>
                  <w:tcW w:type="dxa" w:w="1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90"/>
                    <w:left w:type="dxa" w:w="140"/>
                    <w:bottom w:type="dxa" w:w="90"/>
                    <w:right w:type="dxa" w:w="80"/>
                  </w:tcMar>
                  <w:vAlign w:val="center"/>
                </w:tcPr>
                <w:p>
                  <w:r>
                    <w:rPr>
                      <w:rFonts w:ascii="Consolas" w:cs="Consolas" w:eastAsia="Consolas" w:hAnsi="Consolas"/>
                      <w:color w:val="7D93A8"/>
                      <w:spacing w:val="4"/>
                      <w:sz w:val="12"/>
                      <w:szCs w:val="12"/>
                    </w:rPr>
                    <w:t xml:space="preserve">EMAIL</w:t>
                  </w:r>
                </w:p>
                <w:p>
                  <w:pPr>
                    <w:spacing w:before="10"/>
                  </w:pPr>
                  <w:hyperlink w:history="1" r:id="rId8lpmh7np9jdq4xa480wtk">
                    <w:r>
                      <w:rPr>
                        <w:rFonts w:ascii="Consolas" w:cs="Consolas" w:eastAsia="Consolas" w:hAnsi="Consolas"/>
                        <w:color w:val="0F2740"/>
                        <w:sz w:val="14"/>
                        <w:szCs w:val="14"/>
                      </w:rPr>
                      <w:t xml:space="preserve">t.brennan@email.com</w:t>
                    </w:r>
                  </w:hyperlink>
                </w:p>
              </w:tc>
            </w:tr>
          </w:tbl>
          <w:p/>
        </w:tc>
      </w:tr>
    </w:tbl>
    <w:p>
      <w:pPr>
        <w:spacing w:after="220"/>
      </w:pPr>
    </w:p>
    <w:p>
      <w:pPr>
        <w:spacing w:after="200"/>
      </w:pPr>
      <w:r>
        <w:rPr>
          <w:rFonts w:ascii="Calibri" w:cs="Calibri" w:eastAsia="Calibri" w:hAnsi="Calibri"/>
          <w:color w:val="284055"/>
          <w:sz w:val="20"/>
          <w:szCs w:val="20"/>
        </w:rPr>
        <w:t xml:space="preserve">Cloud infrastructure engineer who designs and builds the foundation everything runs on. Ten years architecting multi-account AWS landing zones, networking, and IaC for regulated, high-scale environments. I draw the architecture, codify it in Terraform, and hand teams a secure, observable platform.</w:t>
      </w:r>
    </w:p>
    <w:tbl>
      <w:tblPr>
        <w:tblW w:type="dxa" w:w="10840"/>
        <w:tblBorders>
          <w:top w:val="single" w:color="0F2740" w:sz="12"/>
          <w:left w:val="single" w:color="0F2740" w:sz="12"/>
          <w:bottom w:val="single" w:color="0F2740" w:sz="12"/>
          <w:right w:val="single" w:color="0F2740" w:sz="12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shd w:fill="FFFFFF" w:color="auto" w:val="clear"/>
            <w:tcMar>
              <w:top w:type="dxa" w:w="220"/>
              <w:left w:type="dxa" w:w="280"/>
              <w:bottom w:type="dxa" w:w="220"/>
              <w:right w:type="dxa" w:w="280"/>
            </w:tcMar>
          </w:tcPr>
          <w:p>
            <w:pPr>
              <w:spacing w:after="170"/>
            </w:pPr>
            <w:r>
              <w:rPr>
                <w:rFonts w:ascii="Consolas" w:cs="Consolas" w:eastAsia="Consolas" w:hAnsi="Consolas"/>
                <w:color w:val="1488C4"/>
                <w:spacing w:val="6"/>
                <w:sz w:val="14"/>
                <w:szCs w:val="14"/>
              </w:rPr>
              <w:t xml:space="preserve">REFERENCE ARCHITECTURE — AWS LANDING ZONE</w:t>
            </w:r>
          </w:p>
          <w:tbl>
            <w:tblPr>
              <w:tblW w:type="dxa" w:w="104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460"/>
              <w:gridCol w:w="200"/>
              <w:gridCol w:w="2460"/>
              <w:gridCol w:w="200"/>
              <w:gridCol w:w="2460"/>
              <w:gridCol w:w="200"/>
              <w:gridCol w:w="2460"/>
            </w:tblGrid>
            <w:tr>
              <w:tc>
                <w:tcPr>
                  <w:tcW w:type="dxa" w:w="2460"/>
                  <w:tcBorders>
                    <w:top w:val="single" w:color="1488C4" w:sz="8"/>
                    <w:left w:val="single" w:color="1488C4" w:sz="8"/>
                    <w:bottom w:val="single" w:color="1488C4" w:sz="8"/>
                    <w:right w:val="single" w:color="1488C4" w:sz="8"/>
                  </w:tcBorders>
                  <w:shd w:fill="F2F9FD" w:color="auto" w:val="clear"/>
                  <w:tcMar>
                    <w:top w:type="dxa" w:w="130"/>
                    <w:left w:type="dxa" w:w="40"/>
                    <w:bottom w:type="dxa" w:w="130"/>
                    <w:right w:type="dxa" w:w="4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0F6293"/>
                      <w:sz w:val="16"/>
                      <w:szCs w:val="16"/>
                    </w:rPr>
                    <w:t xml:space="preserve">Route 53</w:t>
                  </w:r>
                </w:p>
                <w:p>
                  <w:pPr>
                    <w:spacing w:before="20"/>
                    <w:jc w:val="center"/>
                  </w:pPr>
                  <w:r>
                    <w:rPr>
                      <w:rFonts w:ascii="Calibri" w:cs="Calibri" w:eastAsia="Calibri" w:hAnsi="Calibri"/>
                      <w:color w:val="6F8AA0"/>
                      <w:sz w:val="12"/>
                      <w:szCs w:val="12"/>
                    </w:rPr>
                    <w:t xml:space="preserve">DNS · CDN</w:t>
                  </w:r>
                </w:p>
              </w:tc>
              <w:tc>
                <w:tcPr>
                  <w:tcW w:type="dxa" w:w="200"/>
                  <w:tcBorders>
                    <w:top w:val="none"/>
                    <w:left w:val="none"/>
                    <w:bottom w:val="none"/>
                    <w:right w:val="none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1488C4"/>
                      <w:sz w:val="18"/>
                      <w:szCs w:val="18"/>
                    </w:rPr>
                    <w:t xml:space="preserve">—</w:t>
                  </w:r>
                </w:p>
              </w:tc>
              <w:tc>
                <w:tcPr>
                  <w:tcW w:type="dxa" w:w="2460"/>
                  <w:tcBorders>
                    <w:top w:val="single" w:color="1488C4" w:sz="8"/>
                    <w:left w:val="single" w:color="1488C4" w:sz="8"/>
                    <w:bottom w:val="single" w:color="1488C4" w:sz="8"/>
                    <w:right w:val="single" w:color="1488C4" w:sz="8"/>
                  </w:tcBorders>
                  <w:shd w:fill="F2F9FD" w:color="auto" w:val="clear"/>
                  <w:tcMar>
                    <w:top w:type="dxa" w:w="130"/>
                    <w:left w:type="dxa" w:w="40"/>
                    <w:bottom w:type="dxa" w:w="130"/>
                    <w:right w:type="dxa" w:w="4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0F6293"/>
                      <w:sz w:val="16"/>
                      <w:szCs w:val="16"/>
                    </w:rPr>
                    <w:t xml:space="preserve">ALB / WAF</w:t>
                  </w:r>
                </w:p>
                <w:p>
                  <w:pPr>
                    <w:spacing w:before="20"/>
                    <w:jc w:val="center"/>
                  </w:pPr>
                  <w:r>
                    <w:rPr>
                      <w:rFonts w:ascii="Calibri" w:cs="Calibri" w:eastAsia="Calibri" w:hAnsi="Calibri"/>
                      <w:color w:val="6F8AA0"/>
                      <w:sz w:val="12"/>
                      <w:szCs w:val="12"/>
                    </w:rPr>
                    <w:t xml:space="preserve">Ingress</w:t>
                  </w:r>
                </w:p>
              </w:tc>
              <w:tc>
                <w:tcPr>
                  <w:tcW w:type="dxa" w:w="200"/>
                  <w:tcBorders>
                    <w:top w:val="none"/>
                    <w:left w:val="none"/>
                    <w:bottom w:val="none"/>
                    <w:right w:val="none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1488C4"/>
                      <w:sz w:val="18"/>
                      <w:szCs w:val="18"/>
                    </w:rPr>
                    <w:t xml:space="preserve">—</w:t>
                  </w:r>
                </w:p>
              </w:tc>
              <w:tc>
                <w:tcPr>
                  <w:tcW w:type="dxa" w:w="2460"/>
                  <w:tcBorders>
                    <w:top w:val="single" w:color="0F2740" w:sz="8"/>
                    <w:left w:val="single" w:color="0F2740" w:sz="8"/>
                    <w:bottom w:val="single" w:color="0F2740" w:sz="8"/>
                    <w:right w:val="single" w:color="0F2740" w:sz="8"/>
                  </w:tcBorders>
                  <w:shd w:fill="EEF3F8" w:color="auto" w:val="clear"/>
                  <w:tcMar>
                    <w:top w:type="dxa" w:w="130"/>
                    <w:left w:type="dxa" w:w="40"/>
                    <w:bottom w:type="dxa" w:w="130"/>
                    <w:right w:type="dxa" w:w="4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0A1F33"/>
                      <w:sz w:val="16"/>
                      <w:szCs w:val="16"/>
                    </w:rPr>
                    <w:t xml:space="preserve">EKS Cluster</w:t>
                  </w:r>
                </w:p>
                <w:p>
                  <w:pPr>
                    <w:spacing w:before="20"/>
                    <w:jc w:val="center"/>
                  </w:pPr>
                  <w:r>
                    <w:rPr>
                      <w:rFonts w:ascii="Calibri" w:cs="Calibri" w:eastAsia="Calibri" w:hAnsi="Calibri"/>
                      <w:color w:val="6F8AA0"/>
                      <w:sz w:val="12"/>
                      <w:szCs w:val="12"/>
                    </w:rPr>
                    <w:t xml:space="preserve">Multi-AZ workloads</w:t>
                  </w:r>
                </w:p>
              </w:tc>
              <w:tc>
                <w:tcPr>
                  <w:tcW w:type="dxa" w:w="200"/>
                  <w:tcBorders>
                    <w:top w:val="none"/>
                    <w:left w:val="none"/>
                    <w:bottom w:val="none"/>
                    <w:right w:val="none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1488C4"/>
                      <w:sz w:val="18"/>
                      <w:szCs w:val="18"/>
                    </w:rPr>
                    <w:t xml:space="preserve">—</w:t>
                  </w:r>
                </w:p>
              </w:tc>
              <w:tc>
                <w:tcPr>
                  <w:tcW w:type="dxa" w:w="2460"/>
                  <w:tcBorders>
                    <w:top w:val="single" w:color="1488C4" w:sz="8"/>
                    <w:left w:val="single" w:color="1488C4" w:sz="8"/>
                    <w:bottom w:val="single" w:color="1488C4" w:sz="8"/>
                    <w:right w:val="single" w:color="1488C4" w:sz="8"/>
                  </w:tcBorders>
                  <w:shd w:fill="F2F9FD" w:color="auto" w:val="clear"/>
                  <w:tcMar>
                    <w:top w:type="dxa" w:w="130"/>
                    <w:left w:type="dxa" w:w="40"/>
                    <w:bottom w:type="dxa" w:w="130"/>
                    <w:right w:type="dxa" w:w="4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0F6293"/>
                      <w:sz w:val="16"/>
                      <w:szCs w:val="16"/>
                    </w:rPr>
                    <w:t xml:space="preserve">RDS</w:t>
                  </w:r>
                </w:p>
                <w:p>
                  <w:pPr>
                    <w:spacing w:before="20"/>
                    <w:jc w:val="center"/>
                  </w:pPr>
                  <w:r>
                    <w:rPr>
                      <w:rFonts w:ascii="Calibri" w:cs="Calibri" w:eastAsia="Calibri" w:hAnsi="Calibri"/>
                      <w:color w:val="6F8AA0"/>
                      <w:sz w:val="12"/>
                      <w:szCs w:val="12"/>
                    </w:rPr>
                    <w:t xml:space="preserve">Multi-AZ DB</w:t>
                  </w:r>
                </w:p>
              </w:tc>
            </w:tr>
          </w:tbl>
          <w:p>
            <w:pPr>
              <w:spacing w:before="150"/>
              <w:jc w:val="center"/>
            </w:pPr>
            <w:r>
              <w:rPr>
                <w:rFonts w:ascii="Consolas" w:cs="Consolas" w:eastAsia="Consolas" w:hAnsi="Consolas"/>
                <w:color w:val="6F8AA0"/>
                <w:sz w:val="14"/>
                <w:szCs w:val="14"/>
              </w:rPr>
              <w:t xml:space="preserve"> VPC · 3 AZ · private subnets </w:t>
            </w:r>
            <w:r>
              <w:rPr>
                <w:sz w:val="14"/>
                <w:szCs w:val="14"/>
              </w:rPr>
              <w:t xml:space="preserve">    </w:t>
            </w:r>
            <w:r>
              <w:rPr>
                <w:rFonts w:ascii="Consolas" w:cs="Consolas" w:eastAsia="Consolas" w:hAnsi="Consolas"/>
                <w:color w:val="6F8AA0"/>
                <w:sz w:val="14"/>
                <w:szCs w:val="14"/>
              </w:rPr>
              <w:t xml:space="preserve"> CloudWatch · OpenTelemetry </w:t>
            </w:r>
          </w:p>
        </w:tc>
      </w:tr>
    </w:tbl>
    <w:p>
      <w:pPr>
        <w:spacing w:after="220"/>
      </w:pPr>
    </w:p>
    <w:p>
      <w:pPr>
        <w:pBdr>
          <w:bottom w:val="single" w:color="1488C4" w:sz="16"/>
        </w:pBdr>
        <w:spacing w:after="130" w:before="0"/>
      </w:pPr>
      <w:r>
        <w:rPr>
          <w:rFonts w:ascii="Trebuchet MS" w:cs="Trebuchet MS" w:eastAsia="Trebuchet MS" w:hAnsi="Trebuchet MS"/>
          <w:b/>
          <w:bCs/>
          <w:color w:val="0A1F33"/>
          <w:sz w:val="23"/>
          <w:szCs w:val="23"/>
        </w:rPr>
        <w:t xml:space="preserve">Experience</w:t>
      </w:r>
    </w:p>
    <w:p>
      <w:pPr>
        <w:spacing w:after="4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A1F33"/>
                <w:sz w:val="20"/>
                <w:szCs w:val="20"/>
              </w:rPr>
              <w:t xml:space="preserve">Senior Cloud Infrastructure Engineer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8499A9"/>
                <w:sz w:val="15"/>
                <w:szCs w:val="15"/>
              </w:rPr>
              <w:t xml:space="preserve">2020 — Present</w:t>
            </w:r>
          </w:p>
        </w:tc>
      </w:tr>
    </w:tbl>
    <w:p>
      <w:pPr>
        <w:spacing w:after="55" w:before="40"/>
      </w:pPr>
      <w:r>
        <w:rPr>
          <w:rFonts w:ascii="Consolas" w:cs="Consolas" w:eastAsia="Consolas" w:hAnsi="Consolas"/>
          <w:color w:val="0F6293"/>
          <w:sz w:val="17"/>
          <w:szCs w:val="17"/>
        </w:rPr>
        <w:t xml:space="preserve">Charles Schwab — Denver, CO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284055"/>
          <w:sz w:val="19"/>
          <w:szCs w:val="19"/>
        </w:rPr>
        <w:t xml:space="preserve">Architected a multi-account AWS landing zone (Control Tower) for 80+ teams under FINRA controls.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284055"/>
          <w:sz w:val="19"/>
          <w:szCs w:val="19"/>
        </w:rPr>
        <w:t xml:space="preserve">Codified all infrastructure in Terraform; eliminated click-ops and drift across 200+ accounts.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284055"/>
          <w:sz w:val="19"/>
          <w:szCs w:val="19"/>
        </w:rPr>
        <w:t xml:space="preserve">Designed multi-AZ networking and DR; achieved a 15-minute RTO for tier-1 systems.</w:t>
      </w:r>
    </w:p>
    <w:p>
      <w:pPr>
        <w:spacing w:after="19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A1F33"/>
                <w:sz w:val="20"/>
                <w:szCs w:val="20"/>
              </w:rPr>
              <w:t xml:space="preserve">Cloud Engineer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8499A9"/>
                <w:sz w:val="15"/>
                <w:szCs w:val="15"/>
              </w:rPr>
              <w:t xml:space="preserve">2017 — 2020</w:t>
            </w:r>
          </w:p>
        </w:tc>
      </w:tr>
    </w:tbl>
    <w:p>
      <w:pPr>
        <w:spacing w:after="55" w:before="40"/>
      </w:pPr>
      <w:r>
        <w:rPr>
          <w:rFonts w:ascii="Consolas" w:cs="Consolas" w:eastAsia="Consolas" w:hAnsi="Consolas"/>
          <w:color w:val="0F6293"/>
          <w:sz w:val="17"/>
          <w:szCs w:val="17"/>
        </w:rPr>
        <w:t xml:space="preserve">Western Union — Denver, CO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284055"/>
          <w:sz w:val="19"/>
          <w:szCs w:val="19"/>
        </w:rPr>
        <w:t xml:space="preserve">Led a data-center-to-AWS migration of 60+ applications.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284055"/>
          <w:sz w:val="19"/>
          <w:szCs w:val="19"/>
        </w:rPr>
        <w:t xml:space="preserve">Built CI/CD and infrastructure automation with Terraform and Jenkins.</w:t>
      </w:r>
    </w:p>
    <w:p>
      <w:pPr>
        <w:spacing w:after="19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A1F33"/>
                <w:sz w:val="20"/>
                <w:szCs w:val="20"/>
              </w:rPr>
              <w:t xml:space="preserve">Systems Administrator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8499A9"/>
                <w:sz w:val="15"/>
                <w:szCs w:val="15"/>
              </w:rPr>
              <w:t xml:space="preserve">2014 — 2017</w:t>
            </w:r>
          </w:p>
        </w:tc>
      </w:tr>
    </w:tbl>
    <w:p>
      <w:pPr>
        <w:spacing w:after="55" w:before="40"/>
      </w:pPr>
      <w:r>
        <w:rPr>
          <w:rFonts w:ascii="Consolas" w:cs="Consolas" w:eastAsia="Consolas" w:hAnsi="Consolas"/>
          <w:color w:val="0F6293"/>
          <w:sz w:val="17"/>
          <w:szCs w:val="17"/>
        </w:rPr>
        <w:t xml:space="preserve">CenturyLink — Denver, CO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284055"/>
          <w:sz w:val="19"/>
          <w:szCs w:val="19"/>
        </w:rPr>
        <w:t xml:space="preserve">Managed Linux and VMware infrastructure and early cloud workloads.</w:t>
      </w:r>
    </w:p>
    <w:p>
      <w:pPr>
        <w:spacing w:after="0"/>
      </w:pPr>
    </w:p>
    <w:p>
      <w:pPr>
        <w:spacing w:after="40"/>
      </w:pPr>
    </w:p>
    <w:tbl>
      <w:tblPr>
        <w:tblW w:type="dxa" w:w="10840"/>
        <w:tblBorders>
          <w:top w:val="single" w:color="D4E0EC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216"/>
        <w:gridCol w:w="480"/>
        <w:gridCol w:w="4144"/>
      </w:tblGrid>
      <w:tr>
        <w:tc>
          <w:tcPr>
            <w:tcW w:type="dxa" w:w="6216"/>
            <w:tcBorders>
              <w:top w:val="none"/>
              <w:left w:val="none"/>
              <w:bottom w:val="none"/>
              <w:right w:val="single" w:color="D4E0EC" w:sz="8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/>
            </w:pPr>
            <w:r>
              <w:rPr>
                <w:rFonts w:ascii="Trebuchet MS" w:cs="Trebuchet MS" w:eastAsia="Trebuchet MS" w:hAnsi="Trebuchet MS"/>
                <w:b/>
                <w:bCs/>
                <w:color w:val="1488C4"/>
                <w:spacing w:val="8"/>
                <w:sz w:val="17"/>
                <w:szCs w:val="17"/>
              </w:rPr>
              <w:t xml:space="preserve">STACK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6334A"/>
                <w:sz w:val="18"/>
                <w:szCs w:val="18"/>
              </w:rPr>
              <w:t xml:space="preserve">AWS · Terraform · Control Tower · EKS · VPC/Networking · Packer · Python · CloudWatch</w:t>
            </w:r>
          </w:p>
        </w:tc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144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Trebuchet MS" w:cs="Trebuchet MS" w:eastAsia="Trebuchet MS" w:hAnsi="Trebuchet MS"/>
                <w:b/>
                <w:bCs/>
                <w:color w:val="1488C4"/>
                <w:spacing w:val="8"/>
                <w:sz w:val="17"/>
                <w:szCs w:val="17"/>
              </w:rPr>
              <w:t xml:space="preserve">CERTS &amp; 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0A1F33"/>
                <w:sz w:val="18"/>
                <w:szCs w:val="18"/>
              </w:rPr>
              <w:t xml:space="preserve">AWS SA Pro · Terraform Assoc.</w:t>
            </w:r>
          </w:p>
          <w:p>
            <w:pPr>
              <w:spacing w:before="20"/>
            </w:pPr>
            <w:r>
              <w:rPr>
                <w:rFonts w:ascii="Consolas" w:cs="Consolas" w:eastAsia="Consolas" w:hAnsi="Consolas"/>
                <w:color w:val="8A85A8"/>
                <w:sz w:val="16"/>
                <w:szCs w:val="16"/>
              </w:rPr>
              <w:t xml:space="preserve">B.S., IT — Colorado State</w:t>
            </w:r>
          </w:p>
        </w:tc>
      </w:tr>
    </w:tbl>
    <w:sectPr>
      <w:pgSz w:w="12240" w:h="15840" w:orient="portrait"/>
      <w:pgMar w:top="680" w:right="700" w:bottom="62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84055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8lpmh7np9jdq4xa480wtk" Type="http://schemas.openxmlformats.org/officeDocument/2006/relationships/hyperlink" Target="mailto:t.brenna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2026-06-20T18:23:40.651Z</dcterms:created>
  <dcterms:modified xsi:type="dcterms:W3CDTF">2026-06-20T18:23:40.651Z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