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6640"/>
        <w:gridCol w:w="4200"/>
      </w:tblGrid>
      <w:tr>
        <w:tc>
          <w:tcPr>
            <w:tcW w:type="dxa" w:w="6640"/>
            <w:tcBorders>
              <w:top w:val="none"/>
              <w:left w:val="none"/>
              <w:bottom w:val="none"/>
              <w:right w:val="single" w:color="CDD9E6" w:sz="4"/>
            </w:tcBorders>
            <w:shd w:fill="FFFFFF" w:color="auto" w:val="clear"/>
            <w:tcMar>
              <w:top w:type="dxa" w:w="240"/>
              <w:left w:type="dxa" w:w="300"/>
              <w:bottom w:type="dxa" w:w="24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3B6CA8"/>
                <w:spacing w:val="4"/>
                <w:sz w:val="15"/>
                <w:szCs w:val="15"/>
              </w:rPr>
              <w:t xml:space="preserve">CLOUD INFRASTRUCTURE ENGINEER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0A1F33"/>
                <w:sz w:val="51"/>
                <w:szCs w:val="51"/>
              </w:rPr>
              <w:t xml:space="preserve">Tara Brennan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4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</w:tblGrid>
            <w:tr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LOCATION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Denver, CO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EXP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10 yrs</w:t>
                  </w:r>
                </w:p>
              </w:tc>
            </w:tr>
            <w:tr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PHONE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555-0191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EMAIL</w:t>
                  </w:r>
                </w:p>
                <w:p>
                  <w:pPr>
                    <w:spacing w:before="10"/>
                  </w:pPr>
                  <w:hyperlink w:history="1" r:id="rId-4e9ulkykhm2zaoutcgk9">
                    <w:r>
                      <w:rPr>
                        <w:rFonts w:ascii="Consolas" w:cs="Consolas" w:eastAsia="Consolas" w:hAnsi="Consolas"/>
                        <w:color w:val="0F2740"/>
                        <w:sz w:val="14"/>
                        <w:szCs w:val="14"/>
                      </w:rPr>
                      <w:t xml:space="preserve">t.brennan@email.com</w:t>
                    </w:r>
                  </w:hyperlink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284055"/>
          <w:sz w:val="20"/>
          <w:szCs w:val="20"/>
        </w:rPr>
        <w:t xml:space="preserve">Cloud infrastructure engineer who designs and builds the foundation everything runs on. Ten years architecting multi-account AWS landing zones, networking, and IaC for regulated, high-scale environments. I draw the architecture, codify it in Terraform, and hand teams a secure, observable platform.</w:t>
      </w:r>
    </w:p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color w:val="3B6CA8"/>
                <w:spacing w:val="6"/>
                <w:sz w:val="14"/>
                <w:szCs w:val="14"/>
              </w:rPr>
              <w:t xml:space="preserve">REFERENCE ARCHITECTURE — AWS LANDING ZONE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60"/>
              <w:gridCol w:w="200"/>
              <w:gridCol w:w="2460"/>
              <w:gridCol w:w="200"/>
              <w:gridCol w:w="2460"/>
              <w:gridCol w:w="200"/>
              <w:gridCol w:w="2460"/>
            </w:tblGrid>
            <w:tr>
              <w:tc>
                <w:tcPr>
                  <w:tcW w:type="dxa" w:w="2460"/>
                  <w:tcBorders>
                    <w:top w:val="single" w:color="3B6CA8" w:sz="8"/>
                    <w:left w:val="single" w:color="3B6CA8" w:sz="8"/>
                    <w:bottom w:val="single" w:color="3B6CA8" w:sz="8"/>
                    <w:right w:val="single" w:color="3B6CA8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F557F"/>
                      <w:sz w:val="16"/>
                      <w:szCs w:val="16"/>
                    </w:rPr>
                    <w:t xml:space="preserve">Route 53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DNS · CDN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B6CA8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3B6CA8" w:sz="8"/>
                    <w:left w:val="single" w:color="3B6CA8" w:sz="8"/>
                    <w:bottom w:val="single" w:color="3B6CA8" w:sz="8"/>
                    <w:right w:val="single" w:color="3B6CA8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F557F"/>
                      <w:sz w:val="16"/>
                      <w:szCs w:val="16"/>
                    </w:rPr>
                    <w:t xml:space="preserve">ALB / WAF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Ingress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B6CA8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0F2740" w:sz="8"/>
                    <w:left w:val="single" w:color="0F2740" w:sz="8"/>
                    <w:bottom w:val="single" w:color="0F2740" w:sz="8"/>
                    <w:right w:val="single" w:color="0F2740" w:sz="8"/>
                  </w:tcBorders>
                  <w:shd w:fill="EEF3F8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A1F33"/>
                      <w:sz w:val="16"/>
                      <w:szCs w:val="16"/>
                    </w:rPr>
                    <w:t xml:space="preserve">EKS Cluster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workloads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B6CA8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3B6CA8" w:sz="8"/>
                    <w:left w:val="single" w:color="3B6CA8" w:sz="8"/>
                    <w:bottom w:val="single" w:color="3B6CA8" w:sz="8"/>
                    <w:right w:val="single" w:color="3B6CA8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F557F"/>
                      <w:sz w:val="16"/>
                      <w:szCs w:val="16"/>
                    </w:rPr>
                    <w:t xml:space="preserve">RDS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DB</w:t>
                  </w:r>
                </w:p>
              </w:tc>
            </w:tr>
          </w:tbl>
          <w:p>
            <w:pPr>
              <w:spacing w:before="150"/>
              <w:jc w:val="center"/>
            </w:pP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VPC · 3 AZ · private subnets 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CloudWatch · OpenTelemetry </w:t>
            </w:r>
          </w:p>
        </w:tc>
      </w:tr>
    </w:tbl>
    <w:p>
      <w:pPr>
        <w:spacing w:after="220"/>
      </w:pPr>
    </w:p>
    <w:p>
      <w:pPr>
        <w:pBdr>
          <w:bottom w:val="single" w:color="3B6CA8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0A1F33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Senior Cloud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2020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F557F"/>
          <w:sz w:val="17"/>
          <w:szCs w:val="17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Architected a multi-account AWS landing zone (Control Tower) for 80+ teams under FINRA controls.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Codified all infrastructure in Terraform; eliminated click-ops and drift across 200+ accounts.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Designed multi-AZ networking and DR; achieved a 15-minute RTO for tier-1 systems.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Cloud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2017 — 2020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F557F"/>
          <w:sz w:val="17"/>
          <w:szCs w:val="17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Led a data-center-to-AWS migration of 60+ applications.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Built CI/CD and infrastructure automation with Terraform and Jenkins.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2014 — 2017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F557F"/>
          <w:sz w:val="17"/>
          <w:szCs w:val="17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Managed Linux and VMware infrastructure and early cloud workloads.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D4E0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D4E0EC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3B6CA8"/>
                <w:spacing w:val="8"/>
                <w:sz w:val="17"/>
                <w:szCs w:val="17"/>
              </w:rPr>
              <w:t xml:space="preserve">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AWS · Terraform · Control Tower · EKS · VPC/Networking · Packer · Python · CloudWatch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3B6CA8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A1F33"/>
                <w:sz w:val="18"/>
                <w:szCs w:val="18"/>
              </w:rPr>
              <w:t xml:space="preserve">AWS SA Pro · Terraform Assoc.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IT — Colorado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8405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4e9ulkykhm2zaoutcgk9" Type="http://schemas.openxmlformats.org/officeDocument/2006/relationships/hyperlink" Target="mailto:t.brenn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2026-06-20T18:23:40.660Z</dcterms:created>
  <dcterms:modified xsi:type="dcterms:W3CDTF">2026-06-20T18:23:40.660Z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