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440"/>
              <w:left w:type="dxa" w:w="60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pacing w:val="18"/>
                <w:sz w:val="17"/>
                <w:szCs w:val="17"/>
              </w:rPr>
              <w:t xml:space="preserve">CONTROLS &amp; AUTOMATION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7"/>
                <w:szCs w:val="57"/>
              </w:rPr>
              <w:t xml:space="preserve">Marcus Boateng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440"/>
              <w:left w:type="dxa" w:w="0"/>
              <w:bottom w:type="dxa" w:w="15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AEB4BC"/>
                <w:sz w:val="15"/>
                <w:szCs w:val="15"/>
              </w:rPr>
              <w:t xml:space="preserve">Cincinnati, OH</w:t>
            </w:r>
            <w:r>
              <w:rPr>
                <w:rFonts w:ascii="Consolas" w:cs="Consolas" w:eastAsia="Consolas" w:hAnsi="Consolas"/>
                <w:color w:val="AEB4BC"/>
                <w:sz w:val="15"/>
                <w:szCs w:val="15"/>
              </w:rPr>
              <w:br/>
              <w:t xml:space="preserve">(513)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y3henf72agxszlh1llhl">
              <w:r>
                <w:rPr>
                  <w:rFonts w:ascii="Consolas" w:cs="Consolas" w:eastAsia="Consolas" w:hAnsi="Consolas"/>
                  <w:color w:val="AEB4BC"/>
                  <w:sz w:val="15"/>
                  <w:szCs w:val="15"/>
                  <w:u w:val="single"/>
                </w:rPr>
                <w:t xml:space="preserve">m.boateng@email.com</w:t>
              </w:r>
            </w:hyperlink>
            <w:r>
              <w:rPr>
                <w:rFonts w:ascii="Consolas" w:cs="Consolas" w:eastAsia="Consolas" w:hAnsi="Consolas"/>
                <w:color w:val="AEB4BC"/>
                <w:sz w:val="15"/>
                <w:szCs w:val="15"/>
              </w:rPr>
              <w:br/>
              <w:t xml:space="preserve">in/marcusboateng</w:t>
            </w:r>
          </w:p>
        </w:tc>
      </w:tr>
      <w:tr>
        <w:tc>
          <w:tcPr>
            <w:tcW w:type="dxa" w:w="3060"/>
            <w:tcBorders>
              <w:top w:val="single" w:color="3E454D" w:sz="4"/>
              <w:left w:val="none"/>
              <w:bottom w:val="none"/>
              <w:right w:val="none"/>
            </w:tcBorders>
            <w:shd w:fill="23282E" w:color="auto" w:val="clear"/>
            <w:tcMar>
              <w:top w:type="dxa" w:w="190"/>
              <w:left w:type="dxa" w:w="60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30+</w:t>
            </w:r>
          </w:p>
          <w:p>
            <w:r>
              <w:rPr>
                <w:rFonts w:ascii="Consolas" w:cs="Consolas" w:eastAsia="Consolas" w:hAnsi="Consolas"/>
                <w:color w:val="AEB4BC"/>
                <w:spacing w:val="4"/>
                <w:sz w:val="12"/>
                <w:szCs w:val="12"/>
              </w:rPr>
              <w:t xml:space="preserve">LINES AUTOMATED</w:t>
            </w:r>
          </w:p>
        </w:tc>
        <w:tc>
          <w:tcPr>
            <w:tcW w:type="dxa" w:w="3060"/>
            <w:tcBorders>
              <w:top w:val="single" w:color="3E454D" w:sz="4"/>
              <w:left w:val="none"/>
              <w:bottom w:val="none"/>
              <w:right w:val="none"/>
            </w:tcBorders>
            <w:shd w:fill="23282E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+22%</w:t>
            </w:r>
          </w:p>
          <w:p>
            <w:r>
              <w:rPr>
                <w:rFonts w:ascii="Consolas" w:cs="Consolas" w:eastAsia="Consolas" w:hAnsi="Consolas"/>
                <w:color w:val="AEB4BC"/>
                <w:spacing w:val="4"/>
                <w:sz w:val="12"/>
                <w:szCs w:val="12"/>
              </w:rPr>
              <w:t xml:space="preserve">THROUGHPUT</w:t>
            </w:r>
          </w:p>
        </w:tc>
        <w:tc>
          <w:tcPr>
            <w:tcW w:type="dxa" w:w="3060"/>
            <w:tcBorders>
              <w:top w:val="single" w:color="3E454D" w:sz="4"/>
              <w:left w:val="none"/>
              <w:bottom w:val="none"/>
              <w:right w:val="none"/>
            </w:tcBorders>
            <w:shd w:fill="23282E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−40%</w:t>
            </w:r>
          </w:p>
          <w:p>
            <w:r>
              <w:rPr>
                <w:rFonts w:ascii="Consolas" w:cs="Consolas" w:eastAsia="Consolas" w:hAnsi="Consolas"/>
                <w:color w:val="AEB4BC"/>
                <w:spacing w:val="4"/>
                <w:sz w:val="12"/>
                <w:szCs w:val="12"/>
              </w:rPr>
              <w:t xml:space="preserve">DOWNTIME</w:t>
            </w:r>
          </w:p>
        </w:tc>
        <w:tc>
          <w:tcPr>
            <w:tcW w:type="dxa" w:w="3060"/>
            <w:tcBorders>
              <w:top w:val="single" w:color="3E454D" w:sz="4"/>
              <w:left w:val="none"/>
              <w:bottom w:val="none"/>
              <w:right w:val="none"/>
            </w:tcBorders>
            <w:shd w:fill="23282E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F0A81E"/>
                <w:sz w:val="32"/>
                <w:szCs w:val="32"/>
              </w:rPr>
              <w:t xml:space="preserve">9 yrs</w:t>
            </w:r>
          </w:p>
          <w:p>
            <w:r>
              <w:rPr>
                <w:rFonts w:ascii="Consolas" w:cs="Consolas" w:eastAsia="Consolas" w:hAnsi="Consolas"/>
                <w:color w:val="AEB4BC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200" w:before="300"/>
        <w:ind w:left="600" w:right="600"/>
      </w:pPr>
      <w:r>
        <w:rPr>
          <w:rFonts w:ascii="Calibri" w:cs="Calibri" w:eastAsia="Calibri" w:hAnsi="Calibri"/>
          <w:color w:val="34404F"/>
          <w:sz w:val="20"/>
          <w:szCs w:val="20"/>
        </w:rPr>
        <w:t xml:space="preserve">Controls engineer who automates the factory floor and keeps it running. Nine years programming PLCs and HMIs, integrating SCADA, and commissioning lines for discrete and process manufacturing. I write clean ladder and structured text, tune the loops, and start up systems that hit rate on day one.</w:t>
      </w: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1716"/>
        <w:gridCol w:w="9324"/>
      </w:tblGrid>
      <w:tr>
        <w:tc>
          <w:tcPr>
            <w:tcW w:type="dxa" w:w="1716"/>
            <w:tcBorders>
              <w:top w:val="single" w:color="DCE0E4" w:sz="3"/>
              <w:left w:val="single" w:color="DCE0E4" w:sz="3"/>
              <w:bottom w:val="single" w:color="DCE0E4" w:sz="3"/>
              <w:right w:val="single" w:color="DCE0E4" w:sz="3"/>
            </w:tcBorders>
            <w:shd w:fill="EEF0F2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3A4250"/>
                <w:spacing w:val="6"/>
                <w:sz w:val="17"/>
                <w:szCs w:val="17"/>
              </w:rPr>
              <w:t xml:space="preserve">I/O · tag-map</w:t>
            </w:r>
          </w:p>
        </w:tc>
        <w:tc>
          <w:tcPr>
            <w:tcW w:type="dxa" w:w="93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CE0E4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single" w:color="DCE0E4" w:sz="4"/>
          <w:left w:val="single" w:color="DCE0E4" w:sz="4"/>
          <w:bottom w:val="single" w:color="DCE0E4" w:sz="4"/>
          <w:right w:val="single" w:color="DCE0E4" w:sz="4"/>
          <w:insideH w:val="none"/>
          <w:insideV w:val="none"/>
        </w:tblBorders>
        <w:tblLayout w:type="fixed"/>
      </w:tblPr>
      <w:tblGrid>
        <w:gridCol w:w="2044"/>
        <w:gridCol w:w="4906"/>
        <w:gridCol w:w="2044"/>
        <w:gridCol w:w="2046"/>
      </w:tblGrid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TAG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DESCRIPTION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TYPE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282E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ADDR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3A4250"/>
                <w:sz w:val="17"/>
                <w:szCs w:val="17"/>
              </w:rPr>
              <w:t xml:space="preserve">PB_START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Line start pushbutton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DI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I:1/0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3A4250"/>
                <w:sz w:val="17"/>
                <w:szCs w:val="17"/>
              </w:rPr>
              <w:t xml:space="preserve">VFD_CMD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Conveyor VFD speed ref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AO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9FC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O:3.0</w:t>
            </w:r>
          </w:p>
        </w:tc>
      </w:tr>
      <w:tr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3A4250"/>
                <w:sz w:val="17"/>
                <w:szCs w:val="17"/>
              </w:rPr>
              <w:t xml:space="preserve">PT_101</w:t>
            </w:r>
          </w:p>
        </w:tc>
        <w:tc>
          <w:tcPr>
            <w:tcW w:type="dxa" w:w="4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Header pressure transmitter</w:t>
            </w:r>
          </w:p>
        </w:tc>
        <w:tc>
          <w:tcPr>
            <w:tcW w:type="dxa" w:w="20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AI</w:t>
            </w:r>
          </w:p>
        </w:tc>
        <w:tc>
          <w:tcPr>
            <w:tcW w:type="dxa" w:w="20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I:5.2</w:t>
            </w:r>
          </w:p>
        </w:tc>
      </w:tr>
    </w:tbl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00"/>
      </w:tblGrid>
      <w:tr>
        <w:tc>
          <w:tcPr>
            <w:tcW w:type="dxa" w:w="1440"/>
            <w:tcBorders>
              <w:top w:val="single" w:color="DCE0E4" w:sz="3"/>
              <w:left w:val="single" w:color="DCE0E4" w:sz="3"/>
              <w:bottom w:val="single" w:color="DCE0E4" w:sz="3"/>
              <w:right w:val="single" w:color="DCE0E4" w:sz="3"/>
            </w:tcBorders>
            <w:shd w:fill="EEF0F2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3A4250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DCE0E4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Senior Controls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3A4250"/>
          <w:sz w:val="18"/>
          <w:szCs w:val="18"/>
        </w:rPr>
        <w:t xml:space="preserve">Procter &amp; Gamble — Cincinnati,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Program Allen-Bradley ControlLogix PLCs and FactoryTalk HMIs for high-speed packaging lines.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Automated 30+ lines, raising throughput 22% and cutting unplanned downtime 40%.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Integrate SCADA and historian data, giving operations real-time OEE dashboards.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Controls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3A4250"/>
          <w:sz w:val="18"/>
          <w:szCs w:val="18"/>
        </w:rPr>
        <w:t xml:space="preserve">Rockwell Automation — Mayfield Heights,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Developed PLC/HMI code and commissioned automation systems at customer sites.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Tuned PID loops and motion control for servo-driven machinery.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2E"/>
                <w:sz w:val="20"/>
                <w:szCs w:val="20"/>
              </w:rPr>
              <w:t xml:space="preserve">Automation Engineer I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3A0AF"/>
                <w:sz w:val="16"/>
                <w:szCs w:val="16"/>
              </w:rPr>
              <w:t xml:space="preserve">2015 – 2016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3A4250"/>
          <w:sz w:val="18"/>
          <w:szCs w:val="18"/>
        </w:rPr>
        <w:t xml:space="preserve">Jergens Industrial — Cleveland, OH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4404F"/>
          <w:sz w:val="19"/>
          <w:szCs w:val="19"/>
        </w:rPr>
        <w:t xml:space="preserve">Wired control panels and supported PLC programming for machine builds.</w:t>
      </w:r>
    </w:p>
    <w:p>
      <w:pPr>
        <w:spacing w:after="60"/>
      </w:pPr>
    </w:p>
    <w:tbl>
      <w:tblPr>
        <w:tblW w:type="dxa" w:w="11040"/>
        <w:tblInd w:type="dxa" w:w="600"/>
        <w:tblBorders>
          <w:top w:val="single" w:color="E4E8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9"/>
        <w:gridCol w:w="4601"/>
      </w:tblGrid>
      <w:tr>
        <w:tc>
          <w:tcPr>
            <w:tcW w:type="dxa" w:w="6439"/>
            <w:tcBorders>
              <w:top w:val="none" w:color="FFFFFF" w:sz="0"/>
              <w:left w:val="none" w:color="FFFFFF" w:sz="0"/>
              <w:bottom w:val="none" w:color="FFFFFF" w:sz="0"/>
              <w:right w:val="single" w:color="E4E8EF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3A4250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80"/>
              <w:gridCol w:w="5230"/>
            </w:tblGrid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PLC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Allen-Bradley · Siemens · ladder · ST</w:t>
                  </w:r>
                </w:p>
              </w:tc>
            </w:tr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HMI/SCADA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FactoryTalk · Ignition · WonderWare</w:t>
                  </w:r>
                </w:p>
              </w:tc>
            </w:tr>
            <w:tr>
              <w:tc>
                <w:tcPr>
                  <w:tcW w:type="dxa" w:w="9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A6B4"/>
                      <w:spacing w:val="5"/>
                      <w:sz w:val="14"/>
                      <w:szCs w:val="14"/>
                    </w:rPr>
                    <w:t xml:space="preserve">NETWORKS</w:t>
                  </w:r>
                </w:p>
              </w:tc>
              <w:tc>
                <w:tcPr>
                  <w:tcW w:type="dxa" w:w="52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4404F"/>
                      <w:sz w:val="17"/>
                      <w:szCs w:val="17"/>
                    </w:rPr>
                    <w:t xml:space="preserve">EtherNet/IP · Modbus · PROFIBUS</w:t>
                  </w:r>
                </w:p>
              </w:tc>
            </w:tr>
          </w:tbl>
          <w:p/>
        </w:tc>
        <w:tc>
          <w:tcPr>
            <w:tcW w:type="dxa" w:w="46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3A4250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2202E"/>
                <w:sz w:val="18"/>
                <w:szCs w:val="18"/>
              </w:rPr>
              <w:t xml:space="preserve">B.S.,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8A98"/>
                <w:sz w:val="17"/>
                <w:szCs w:val="17"/>
              </w:rPr>
              <w:t xml:space="preserve">University of Cincinnati</w:t>
            </w:r>
          </w:p>
          <w:p>
            <w:r>
              <w:rPr>
                <w:rFonts w:ascii="Calibri" w:cs="Calibri" w:eastAsia="Calibri" w:hAnsi="Calibri"/>
                <w:color w:val="34404F"/>
                <w:sz w:val="17"/>
                <w:szCs w:val="17"/>
              </w:rPr>
              <w:t xml:space="preserve">FE Certified · RA ControlLogix Cert.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y3henf72agxszlh1llhl" Type="http://schemas.openxmlformats.org/officeDocument/2006/relationships/hyperlink" Target="mailto:m.boateng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2026-06-19T18:41:13.435Z</dcterms:created>
  <dcterms:modified xsi:type="dcterms:W3CDTF">2026-06-19T18:41:13.435Z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