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9242A" w:color="auto" w:val="clear"/>
            <w:tcMar>
              <w:top w:type="dxa" w:w="440"/>
              <w:left w:type="dxa" w:w="600"/>
              <w:bottom w:type="dxa" w:w="12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onsolas" w:cs="Consolas" w:eastAsia="Consolas" w:hAnsi="Consolas"/>
                <w:b/>
                <w:bCs/>
                <w:color w:val="2FB8C0"/>
                <w:spacing w:val="18"/>
                <w:sz w:val="17"/>
                <w:szCs w:val="17"/>
              </w:rPr>
              <w:t xml:space="preserve">POWER SYSTEMS ENGINEER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FFFFF"/>
                <w:sz w:val="57"/>
                <w:szCs w:val="57"/>
              </w:rPr>
              <w:t xml:space="preserve">Daniel Whitfield, PE</w:t>
            </w:r>
          </w:p>
        </w:tc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9242A" w:color="auto" w:val="clear"/>
            <w:tcMar>
              <w:top w:type="dxa" w:w="440"/>
              <w:left w:type="dxa" w:w="0"/>
              <w:bottom w:type="dxa" w:w="150"/>
              <w:right w:type="dxa" w:w="60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A6BABE"/>
                <w:sz w:val="15"/>
                <w:szCs w:val="15"/>
              </w:rPr>
              <w:t xml:space="preserve">Phoenix, AZ</w:t>
            </w:r>
            <w:r>
              <w:rPr>
                <w:rFonts w:ascii="Consolas" w:cs="Consolas" w:eastAsia="Consolas" w:hAnsi="Consolas"/>
                <w:color w:val="A6BABE"/>
                <w:sz w:val="15"/>
                <w:szCs w:val="15"/>
              </w:rPr>
              <w:br/>
              <w:t xml:space="preserve">(602)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8gin8j32osxul2kf6fbfk">
              <w:r>
                <w:rPr>
                  <w:rFonts w:ascii="Consolas" w:cs="Consolas" w:eastAsia="Consolas" w:hAnsi="Consolas"/>
                  <w:color w:val="A6BABE"/>
                  <w:sz w:val="15"/>
                  <w:szCs w:val="15"/>
                  <w:u w:val="single"/>
                </w:rPr>
                <w:t xml:space="preserve">d.whitfield@email.com</w:t>
              </w:r>
            </w:hyperlink>
            <w:r>
              <w:rPr>
                <w:rFonts w:ascii="Consolas" w:cs="Consolas" w:eastAsia="Consolas" w:hAnsi="Consolas"/>
                <w:color w:val="A6BABE"/>
                <w:sz w:val="15"/>
                <w:szCs w:val="15"/>
              </w:rPr>
              <w:br/>
              <w:t xml:space="preserve">in/danielwhitfield</w:t>
            </w:r>
          </w:p>
        </w:tc>
      </w:tr>
      <w:tr>
        <w:tc>
          <w:tcPr>
            <w:tcW w:type="dxa" w:w="3060"/>
            <w:tcBorders>
              <w:top w:val="single" w:color="2D454C" w:sz="4"/>
              <w:left w:val="none"/>
              <w:bottom w:val="none"/>
              <w:right w:val="none"/>
            </w:tcBorders>
            <w:shd w:fill="19242A" w:color="auto" w:val="clear"/>
            <w:tcMar>
              <w:top w:type="dxa" w:w="190"/>
              <w:left w:type="dxa" w:w="600"/>
              <w:bottom w:type="dxa" w:w="36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2FB8C0"/>
                <w:sz w:val="32"/>
                <w:szCs w:val="32"/>
              </w:rPr>
              <w:t xml:space="preserve">230 kV</w:t>
            </w:r>
          </w:p>
          <w:p>
            <w:r>
              <w:rPr>
                <w:rFonts w:ascii="Consolas" w:cs="Consolas" w:eastAsia="Consolas" w:hAnsi="Consolas"/>
                <w:color w:val="A6BABE"/>
                <w:spacing w:val="4"/>
                <w:sz w:val="12"/>
                <w:szCs w:val="12"/>
              </w:rPr>
              <w:t xml:space="preserve">MAX VOLTAGE</w:t>
            </w:r>
          </w:p>
        </w:tc>
        <w:tc>
          <w:tcPr>
            <w:tcW w:type="dxa" w:w="3060"/>
            <w:tcBorders>
              <w:top w:val="single" w:color="2D454C" w:sz="4"/>
              <w:left w:val="none"/>
              <w:bottom w:val="none"/>
              <w:right w:val="none"/>
            </w:tcBorders>
            <w:shd w:fill="19242A" w:color="auto" w:val="clear"/>
            <w:tcMar>
              <w:top w:type="dxa" w:w="19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2FB8C0"/>
                <w:sz w:val="32"/>
                <w:szCs w:val="32"/>
              </w:rPr>
              <w:t xml:space="preserve">40+</w:t>
            </w:r>
          </w:p>
          <w:p>
            <w:r>
              <w:rPr>
                <w:rFonts w:ascii="Consolas" w:cs="Consolas" w:eastAsia="Consolas" w:hAnsi="Consolas"/>
                <w:color w:val="A6BABE"/>
                <w:spacing w:val="4"/>
                <w:sz w:val="12"/>
                <w:szCs w:val="12"/>
              </w:rPr>
              <w:t xml:space="preserve">SUBSTATIONS</w:t>
            </w:r>
          </w:p>
        </w:tc>
        <w:tc>
          <w:tcPr>
            <w:tcW w:type="dxa" w:w="3060"/>
            <w:tcBorders>
              <w:top w:val="single" w:color="2D454C" w:sz="4"/>
              <w:left w:val="none"/>
              <w:bottom w:val="none"/>
              <w:right w:val="none"/>
            </w:tcBorders>
            <w:shd w:fill="19242A" w:color="auto" w:val="clear"/>
            <w:tcMar>
              <w:top w:type="dxa" w:w="19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2FB8C0"/>
                <w:sz w:val="32"/>
                <w:szCs w:val="32"/>
              </w:rPr>
              <w:t xml:space="preserve">$60M</w:t>
            </w:r>
          </w:p>
          <w:p>
            <w:r>
              <w:rPr>
                <w:rFonts w:ascii="Consolas" w:cs="Consolas" w:eastAsia="Consolas" w:hAnsi="Consolas"/>
                <w:color w:val="A6BABE"/>
                <w:spacing w:val="4"/>
                <w:sz w:val="12"/>
                <w:szCs w:val="12"/>
              </w:rPr>
              <w:t xml:space="preserve">PROJECTS STAMPED</w:t>
            </w:r>
          </w:p>
        </w:tc>
        <w:tc>
          <w:tcPr>
            <w:tcW w:type="dxa" w:w="3060"/>
            <w:tcBorders>
              <w:top w:val="single" w:color="2D454C" w:sz="4"/>
              <w:left w:val="none"/>
              <w:bottom w:val="none"/>
              <w:right w:val="none"/>
            </w:tcBorders>
            <w:shd w:fill="19242A" w:color="auto" w:val="clear"/>
            <w:tcMar>
              <w:top w:type="dxa" w:w="19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2FB8C0"/>
                <w:sz w:val="32"/>
                <w:szCs w:val="32"/>
              </w:rPr>
              <w:t xml:space="preserve">PE</w:t>
            </w:r>
          </w:p>
          <w:p>
            <w:r>
              <w:rPr>
                <w:rFonts w:ascii="Consolas" w:cs="Consolas" w:eastAsia="Consolas" w:hAnsi="Consolas"/>
                <w:color w:val="A6BABE"/>
                <w:spacing w:val="4"/>
                <w:sz w:val="12"/>
                <w:szCs w:val="12"/>
              </w:rPr>
              <w:t xml:space="preserve">AZ · 4 STATES</w:t>
            </w:r>
          </w:p>
        </w:tc>
      </w:tr>
    </w:tbl>
    <w:p>
      <w:pPr>
        <w:spacing w:after="200" w:before="300"/>
        <w:ind w:left="600" w:right="600"/>
      </w:pPr>
      <w:r>
        <w:rPr>
          <w:rFonts w:ascii="Calibri" w:cs="Calibri" w:eastAsia="Calibri" w:hAnsi="Calibri"/>
          <w:color w:val="3A382F"/>
          <w:sz w:val="20"/>
          <w:szCs w:val="20"/>
        </w:rPr>
        <w:t xml:space="preserve">Licensed power systems engineer designing and protecting medium- and high-voltage networks. Eleven years on substation design, load flow, short-circuit, and protective-relay coordination — stamping drawings that keep the grid safe and reliable. I model the system, set the relays, and own the calc package end to end.</w:t>
      </w:r>
    </w:p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type="dxa" w:w="0"/>
          <w:bottom w:type="dxa" w:w="0"/>
        </w:tblCellMar>
      </w:tblPr>
      <w:tblGrid>
        <w:gridCol w:w="2084"/>
        <w:gridCol w:w="8956"/>
      </w:tblGrid>
      <w:tr>
        <w:tc>
          <w:tcPr>
            <w:tcW w:type="dxa" w:w="2084"/>
            <w:tcBorders>
              <w:top w:val="single" w:color="CFE6E7" w:sz="3"/>
              <w:left w:val="single" w:color="CFE6E7" w:sz="3"/>
              <w:bottom w:val="single" w:color="CFE6E7" w:sz="3"/>
              <w:right w:val="single" w:color="CFE6E7" w:sz="3"/>
            </w:tcBorders>
            <w:shd w:fill="E5F4F5" w:color="auto" w:val="clear"/>
            <w:tcMar>
              <w:top w:type="dxa" w:w="40"/>
              <w:left w:type="dxa" w:w="130"/>
              <w:bottom w:type="dxa" w:w="46"/>
              <w:right w:type="dxa" w:w="130"/>
            </w:tcMar>
            <w:vAlign w:val="center"/>
          </w:tcPr>
          <w:p>
            <w:pPr>
              <w:spacing w:after="0" w:before="0"/>
            </w:pPr>
            <w:r>
              <w:rPr>
                <w:rFonts w:ascii="Consolas" w:cs="Consolas" w:eastAsia="Consolas" w:hAnsi="Consolas"/>
                <w:b/>
                <w:bCs/>
                <w:color w:val="0E7C84"/>
                <w:spacing w:val="6"/>
                <w:sz w:val="17"/>
                <w:szCs w:val="17"/>
              </w:rPr>
              <w:t xml:space="preserve">N1 / system-study</w:t>
            </w:r>
          </w:p>
        </w:tc>
        <w:tc>
          <w:tcPr>
            <w:tcW w:type="dxa" w:w="89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center"/>
          </w:tcPr>
          <w:p>
            <w:pPr>
              <w:pBdr>
                <w:bottom w:val="single" w:color="CFE6E7" w:sz="3"/>
              </w:pBd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50"/>
      </w:pPr>
    </w:p>
    <w:tbl>
      <w:tblPr>
        <w:tblW w:type="dxa" w:w="11040"/>
        <w:tblInd w:type="dxa" w:w="600"/>
        <w:tblBorders>
          <w:top w:val="single" w:color="CFE6E7" w:sz="4"/>
          <w:left w:val="single" w:color="CFE6E7" w:sz="4"/>
          <w:bottom w:val="single" w:color="CFE6E7" w:sz="4"/>
          <w:right w:val="single" w:color="CFE6E7" w:sz="4"/>
          <w:insideH w:val="none"/>
          <w:insideV w:val="none"/>
        </w:tblBorders>
        <w:tblLayout w:type="fixed"/>
      </w:tblPr>
      <w:tblGrid>
        <w:gridCol w:w="4697"/>
        <w:gridCol w:w="3288"/>
        <w:gridCol w:w="3055"/>
      </w:tblGrid>
      <w:tr>
        <w:tc>
          <w:tcPr>
            <w:tcW w:type="dxa" w:w="469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9242A" w:color="auto" w:val="clear"/>
            <w:tcMar>
              <w:top w:type="dxa" w:w="80"/>
              <w:left w:type="dxa" w:w="1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STUDY</w:t>
            </w:r>
          </w:p>
        </w:tc>
        <w:tc>
          <w:tcPr>
            <w:tcW w:type="dxa" w:w="32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9242A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TOOL</w:t>
            </w:r>
          </w:p>
        </w:tc>
        <w:tc>
          <w:tcPr>
            <w:tcW w:type="dxa" w:w="30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9242A" w:color="auto" w:val="clear"/>
            <w:tcMar>
              <w:top w:type="dxa" w:w="80"/>
              <w:left w:type="dxa" w:w="6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RESULT</w:t>
            </w:r>
          </w:p>
        </w:tc>
      </w:tr>
      <w:tr>
        <w:tc>
          <w:tcPr>
            <w:tcW w:type="dxa" w:w="469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Load Flow / Capacity</w:t>
            </w:r>
          </w:p>
        </w:tc>
        <w:tc>
          <w:tcPr>
            <w:tcW w:type="dxa" w:w="32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ETAP</w:t>
            </w:r>
          </w:p>
        </w:tc>
        <w:tc>
          <w:tcPr>
            <w:tcW w:type="dxa" w:w="30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+18% headroom</w:t>
            </w:r>
          </w:p>
        </w:tc>
      </w:tr>
      <w:tr>
        <w:tc>
          <w:tcPr>
            <w:tcW w:type="dxa" w:w="469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8F0" w:color="auto" w:val="clear"/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Short-Circuit / AIC</w:t>
            </w:r>
          </w:p>
        </w:tc>
        <w:tc>
          <w:tcPr>
            <w:tcW w:type="dxa" w:w="32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8F0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SKM</w:t>
            </w:r>
          </w:p>
        </w:tc>
        <w:tc>
          <w:tcPr>
            <w:tcW w:type="dxa" w:w="30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8F0" w:color="auto" w:val="clear"/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63 kA rated</w:t>
            </w:r>
          </w:p>
        </w:tc>
      </w:tr>
      <w:tr>
        <w:tc>
          <w:tcPr>
            <w:tcW w:type="dxa" w:w="469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Arc-Flash / IEEE 1584</w:t>
            </w:r>
          </w:p>
        </w:tc>
        <w:tc>
          <w:tcPr>
            <w:tcW w:type="dxa" w:w="32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ETAP</w:t>
            </w:r>
          </w:p>
        </w:tc>
        <w:tc>
          <w:tcPr>
            <w:tcW w:type="dxa" w:w="30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labels issued</w:t>
            </w:r>
          </w:p>
        </w:tc>
      </w:tr>
    </w:tbl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type="dxa" w:w="260"/>
          <w:bottom w:type="dxa" w:w="0"/>
        </w:tblCellMar>
      </w:tblPr>
      <w:tblGrid>
        <w:gridCol w:w="1440"/>
        <w:gridCol w:w="9600"/>
      </w:tblGrid>
      <w:tr>
        <w:tc>
          <w:tcPr>
            <w:tcW w:type="dxa" w:w="1440"/>
            <w:tcBorders>
              <w:top w:val="single" w:color="CFE6E7" w:sz="3"/>
              <w:left w:val="single" w:color="CFE6E7" w:sz="3"/>
              <w:bottom w:val="single" w:color="CFE6E7" w:sz="3"/>
              <w:right w:val="single" w:color="CFE6E7" w:sz="3"/>
            </w:tcBorders>
            <w:shd w:fill="E5F4F5" w:color="auto" w:val="clear"/>
            <w:tcMar>
              <w:top w:type="dxa" w:w="40"/>
              <w:left w:type="dxa" w:w="130"/>
              <w:bottom w:type="dxa" w:w="46"/>
              <w:right w:type="dxa" w:w="130"/>
            </w:tcMar>
            <w:vAlign w:val="center"/>
          </w:tcPr>
          <w:p>
            <w:pPr>
              <w:spacing w:after="0" w:before="260"/>
            </w:pPr>
            <w:r>
              <w:rPr>
                <w:rFonts w:ascii="Consolas" w:cs="Consolas" w:eastAsia="Consolas" w:hAnsi="Consolas"/>
                <w:b/>
                <w:bCs/>
                <w:color w:val="0E7C84"/>
                <w:spacing w:val="6"/>
                <w:sz w:val="17"/>
                <w:szCs w:val="17"/>
              </w:rPr>
              <w:t xml:space="preserve">experience</w:t>
            </w:r>
          </w:p>
        </w:tc>
        <w:tc>
          <w:tcPr>
            <w:tcW w:type="dxa" w:w="9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center"/>
          </w:tcPr>
          <w:p>
            <w:pPr>
              <w:pBdr>
                <w:bottom w:val="single" w:color="CFE6E7" w:sz="3"/>
              </w:pBd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50"/>
      </w:pPr>
    </w:p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700"/>
      </w:tblGrid>
      <w:tr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1813"/>
                <w:sz w:val="20"/>
                <w:szCs w:val="20"/>
              </w:rPr>
              <w:t xml:space="preserve">Senior Power Systems Engineer, PE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A39A86"/>
                <w:sz w:val="16"/>
                <w:szCs w:val="16"/>
              </w:rPr>
              <w:t xml:space="preserve">2019 – Present</w:t>
            </w:r>
          </w:p>
        </w:tc>
      </w:tr>
    </w:tbl>
    <w:p>
      <w:pPr>
        <w:spacing w:after="40"/>
        <w:ind w:left="600" w:right="600"/>
      </w:pPr>
      <w:r>
        <w:rPr>
          <w:rFonts w:ascii="Calibri" w:cs="Calibri" w:eastAsia="Calibri" w:hAnsi="Calibri"/>
          <w:b/>
          <w:bCs/>
          <w:color w:val="0E7C84"/>
          <w:sz w:val="18"/>
          <w:szCs w:val="18"/>
        </w:rPr>
        <w:t xml:space="preserve">Burns &amp; McDonnell — Phoenix, AZ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A382F"/>
          <w:sz w:val="19"/>
          <w:szCs w:val="19"/>
        </w:rPr>
        <w:t xml:space="preserve">Design 69–230 kV substations; perform load-flow, short-circuit, and arc-flash studies in ETAP and stamp the packages.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A382F"/>
          <w:sz w:val="19"/>
          <w:szCs w:val="19"/>
        </w:rPr>
        <w:t xml:space="preserve">Set and coordinate protective relays (SEL), eliminating nuisance trips on a 40-substation utility network.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A382F"/>
          <w:sz w:val="19"/>
          <w:szCs w:val="19"/>
        </w:rPr>
        <w:t xml:space="preserve">Lead PE of record on $60M in transmission and distribution projects.</w:t>
      </w:r>
    </w:p>
    <w:p>
      <w:pPr>
        <w:spacing w:after="110"/>
      </w:pPr>
    </w:p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700"/>
      </w:tblGrid>
      <w:tr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1813"/>
                <w:sz w:val="20"/>
                <w:szCs w:val="20"/>
              </w:rPr>
              <w:t xml:space="preserve">Electrical Engineer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A39A86"/>
                <w:sz w:val="16"/>
                <w:szCs w:val="16"/>
              </w:rPr>
              <w:t xml:space="preserve">2014 – 2019</w:t>
            </w:r>
          </w:p>
        </w:tc>
      </w:tr>
    </w:tbl>
    <w:p>
      <w:pPr>
        <w:spacing w:after="40"/>
        <w:ind w:left="600" w:right="600"/>
      </w:pPr>
      <w:r>
        <w:rPr>
          <w:rFonts w:ascii="Calibri" w:cs="Calibri" w:eastAsia="Calibri" w:hAnsi="Calibri"/>
          <w:b/>
          <w:bCs/>
          <w:color w:val="0E7C84"/>
          <w:sz w:val="18"/>
          <w:szCs w:val="18"/>
        </w:rPr>
        <w:t xml:space="preserve">Arizona Public Service (APS) — Phoenix, AZ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A382F"/>
          <w:sz w:val="19"/>
          <w:szCs w:val="19"/>
        </w:rPr>
        <w:t xml:space="preserve">Performed distribution planning and protection studies; earned PE license.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A382F"/>
          <w:sz w:val="19"/>
          <w:szCs w:val="19"/>
        </w:rPr>
        <w:t xml:space="preserve">Specified transformers, switchgear, and relays to IEEE and NEC.</w:t>
      </w:r>
    </w:p>
    <w:p>
      <w:pPr>
        <w:spacing w:after="110"/>
      </w:pPr>
    </w:p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700"/>
      </w:tblGrid>
      <w:tr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1813"/>
                <w:sz w:val="20"/>
                <w:szCs w:val="20"/>
              </w:rPr>
              <w:t xml:space="preserve">Electrical Engineer I (EIT)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A39A86"/>
                <w:sz w:val="16"/>
                <w:szCs w:val="16"/>
              </w:rPr>
              <w:t xml:space="preserve">2012 – 2014</w:t>
            </w:r>
          </w:p>
        </w:tc>
      </w:tr>
    </w:tbl>
    <w:p>
      <w:pPr>
        <w:spacing w:after="40"/>
        <w:ind w:left="600" w:right="600"/>
      </w:pPr>
      <w:r>
        <w:rPr>
          <w:rFonts w:ascii="Calibri" w:cs="Calibri" w:eastAsia="Calibri" w:hAnsi="Calibri"/>
          <w:b/>
          <w:bCs/>
          <w:color w:val="0E7C84"/>
          <w:sz w:val="18"/>
          <w:szCs w:val="18"/>
        </w:rPr>
        <w:t xml:space="preserve">POWER Engineers — Boise, ID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A382F"/>
          <w:sz w:val="19"/>
          <w:szCs w:val="19"/>
        </w:rPr>
        <w:t xml:space="preserve">Supported substation physical and protection design under licensed PEs.</w:t>
      </w:r>
    </w:p>
    <w:p>
      <w:pPr>
        <w:spacing w:after="60"/>
      </w:pPr>
    </w:p>
    <w:tbl>
      <w:tblPr>
        <w:tblW w:type="dxa" w:w="11040"/>
        <w:tblInd w:type="dxa" w:w="600"/>
        <w:tblBorders>
          <w:top w:val="single" w:color="ECE4D3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39"/>
        <w:gridCol w:w="4601"/>
      </w:tblGrid>
      <w:tr>
        <w:tc>
          <w:tcPr>
            <w:tcW w:type="dxa" w:w="6439"/>
            <w:tcBorders>
              <w:top w:val="none" w:color="FFFFFF" w:sz="0"/>
              <w:left w:val="none" w:color="FFFFFF" w:sz="0"/>
              <w:bottom w:val="none" w:color="FFFFFF" w:sz="0"/>
              <w:right w:val="single" w:color="ECE4D3" w:sz="4"/>
            </w:tcBorders>
            <w:tcMar>
              <w:top w:type="dxa" w:w="14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0E7C84"/>
                <w:spacing w:val="12"/>
                <w:sz w:val="15"/>
                <w:szCs w:val="15"/>
              </w:rPr>
              <w:t xml:space="preserve">TECHNICAL SKILLS</w:t>
            </w:r>
          </w:p>
          <w:tbl>
            <w:tblPr>
              <w:tblW w:type="dxa" w:w="62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00"/>
              <w:gridCol w:w="5310"/>
            </w:tblGrid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A89E89"/>
                      <w:spacing w:val="5"/>
                      <w:sz w:val="14"/>
                      <w:szCs w:val="14"/>
                    </w:rPr>
                    <w:t xml:space="preserve">STUDIES</w:t>
                  </w:r>
                </w:p>
              </w:tc>
              <w:tc>
                <w:tcPr>
                  <w:tcW w:type="dxa" w:w="53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A382F"/>
                      <w:sz w:val="17"/>
                      <w:szCs w:val="17"/>
                    </w:rPr>
                    <w:t xml:space="preserve">ETAP · SKM · CYME · ASPEN</w:t>
                  </w:r>
                </w:p>
              </w:tc>
            </w:tr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A89E89"/>
                      <w:spacing w:val="5"/>
                      <w:sz w:val="14"/>
                      <w:szCs w:val="14"/>
                    </w:rPr>
                    <w:t xml:space="preserve">PROTECTION</w:t>
                  </w:r>
                </w:p>
              </w:tc>
              <w:tc>
                <w:tcPr>
                  <w:tcW w:type="dxa" w:w="53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A382F"/>
                      <w:sz w:val="17"/>
                      <w:szCs w:val="17"/>
                    </w:rPr>
                    <w:t xml:space="preserve">SEL Relays · Coordination · Arc-Flash</w:t>
                  </w:r>
                </w:p>
              </w:tc>
            </w:tr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A89E89"/>
                      <w:spacing w:val="5"/>
                      <w:sz w:val="14"/>
                      <w:szCs w:val="14"/>
                    </w:rPr>
                    <w:t xml:space="preserve">STANDARDS</w:t>
                  </w:r>
                </w:p>
              </w:tc>
              <w:tc>
                <w:tcPr>
                  <w:tcW w:type="dxa" w:w="53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A382F"/>
                      <w:sz w:val="17"/>
                      <w:szCs w:val="17"/>
                    </w:rPr>
                    <w:t xml:space="preserve">IEEE · NEC · NESC · NERC</w:t>
                  </w:r>
                </w:p>
              </w:tc>
            </w:tr>
          </w:tbl>
          <w:p/>
        </w:tc>
        <w:tc>
          <w:tcPr>
            <w:tcW w:type="dxa" w:w="460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0E7C84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A1813"/>
                <w:sz w:val="18"/>
                <w:szCs w:val="18"/>
              </w:rPr>
              <w:t xml:space="preserve">B.S., Electrical Engineering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color w:val="8A8170"/>
                <w:sz w:val="17"/>
                <w:szCs w:val="17"/>
              </w:rPr>
              <w:t xml:space="preserve">Arizona State University</w:t>
            </w:r>
          </w:p>
          <w:p>
            <w:r>
              <w:rPr>
                <w:rFonts w:ascii="Calibri" w:cs="Calibri" w:eastAsia="Calibri" w:hAnsi="Calibri"/>
                <w:color w:val="3A382F"/>
                <w:sz w:val="17"/>
                <w:szCs w:val="17"/>
              </w:rPr>
              <w:t xml:space="preserve">PE (AZ +4) · IEEE PES Member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38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8gin8j32osxul2kf6fbfk" Type="http://schemas.openxmlformats.org/officeDocument/2006/relationships/hyperlink" Target="mailto:d.whitfield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2026-06-19T18:41:13.387Z</dcterms:created>
  <dcterms:modified xsi:type="dcterms:W3CDTF">2026-06-19T18:41:13.387Z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