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20D" w:color="auto" w:val="clear"/>
            <w:tcMar>
              <w:top w:type="dxa" w:w="560"/>
              <w:left w:type="dxa" w:w="820"/>
              <w:bottom w:type="dxa" w:w="380"/>
              <w:right w:type="dxa" w:w="820"/>
            </w:tcMar>
          </w:tcPr>
          <w:p>
            <w:pPr>
              <w:spacing w:after="130"/>
              <w:jc w:val="center"/>
            </w:pPr>
            <w:r>
              <w:rPr>
                <w:rFonts w:ascii="Garamond" w:cs="Garamond" w:eastAsia="Garamond" w:hAnsi="Garamond"/>
                <w:color w:val="FFFFFF"/>
                <w:spacing w:val="6"/>
                <w:sz w:val="66"/>
                <w:szCs w:val="66"/>
              </w:rPr>
              <w:t xml:space="preserve">Margaret E. Sinclair</w:t>
            </w:r>
          </w:p>
          <w:p>
            <w:pPr>
              <w:spacing w:after="1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A04E"/>
                <w:spacing w:val="34"/>
                <w:sz w:val="17"/>
                <w:szCs w:val="17"/>
              </w:rPr>
              <w:t xml:space="preserve">BOARD DIRECTOR · AUDIT COMMITTEE CHAIR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AA194"/>
                <w:sz w:val="17"/>
                <w:szCs w:val="17"/>
              </w:rPr>
              <w:t xml:space="preserve">Greenwich, CT    ·    (203) 555-0166    ·    </w:t>
            </w:r>
            <w:hyperlink w:history="1" r:id="rIdlecnmo17dw3ss6fmgqv3r">
              <w:r>
                <w:rPr>
                  <w:rFonts w:ascii="Calibri" w:cs="Calibri" w:eastAsia="Calibri" w:hAnsi="Calibri"/>
                  <w:color w:val="AAA194"/>
                  <w:sz w:val="17"/>
                  <w:szCs w:val="17"/>
                </w:rPr>
                <w:t xml:space="preserve">m.sinclair@email.com</w:t>
              </w:r>
            </w:hyperlink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6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A04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color w:val="C2A04E"/>
                <w:sz w:val="2"/>
                <w:szCs w:val="2"/>
              </w:rPr>
              <w:t xml:space="preserve"/>
            </w:r>
          </w:p>
        </w:tc>
      </w:tr>
    </w:tbl>
    <w:p>
      <w:pPr>
        <w:spacing w:after="220" w:before="300"/>
        <w:ind w:left="820" w:right="820"/>
        <w:jc w:val="center"/>
      </w:pPr>
      <w:r>
        <w:rPr>
          <w:rFonts w:ascii="Calibri" w:cs="Calibri" w:eastAsia="Calibri" w:hAnsi="Calibri"/>
          <w:color w:val="39342B"/>
          <w:sz w:val="20"/>
          <w:szCs w:val="20"/>
        </w:rPr>
        <w:t xml:space="preserve">Seasoned public-company director and former CEO who brings operating judgment and financial rigor to the boardroom. Twenty-five years of P&amp;L leadership followed by a decade of board service — guiding companies through growth, succession, M&amp;A, and crisis with independent, shareholder-aligned governance.</w:t>
      </w:r>
    </w:p>
    <w:p>
      <w:pPr>
        <w:spacing w:after="120" w:before="0"/>
        <w:ind w:left="820" w:right="820"/>
      </w:pPr>
      <w:r>
        <w:rPr>
          <w:rFonts w:ascii="Calibri" w:cs="Calibri" w:eastAsia="Calibri" w:hAnsi="Calibri"/>
          <w:b/>
          <w:bCs/>
          <w:color w:val="9A7C2F"/>
          <w:spacing w:val="24"/>
          <w:sz w:val="17"/>
          <w:szCs w:val="17"/>
        </w:rPr>
        <w:t xml:space="preserve">CURRENT &amp; PRIOR BOARDS</w:t>
      </w:r>
    </w:p>
    <w:tbl>
      <w:tblPr>
        <w:tblW w:type="dxa" w:w="10600"/>
        <w:tblInd w:type="dxa" w:w="820"/>
        <w:tblBorders>
          <w:top w:val="single" w:color="E7DDC7" w:sz="4"/>
          <w:left w:val="single" w:color="E7DDC7" w:sz="4"/>
          <w:bottom w:val="single" w:color="E7DDC7" w:sz="4"/>
          <w:right w:val="single" w:color="E7DDC7" w:sz="4"/>
          <w:insideH w:val="none"/>
          <w:insideV w:val="none"/>
        </w:tblBorders>
        <w:tblLayout w:type="fixed"/>
      </w:tblPr>
      <w:tblGrid>
        <w:gridCol w:w="4711"/>
        <w:gridCol w:w="3140"/>
        <w:gridCol w:w="2749"/>
      </w:tblGrid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20D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COMPANY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20D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ROLE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120D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TENURE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Halcyon Industries (NYSE)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Audit Chair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2019 – Present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Brightwater Bancorp (NASDAQ)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Director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2017 – Present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Vantage Health (Private/PE)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Lead Director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2016 – 2023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Cornerstone Foundation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Trustee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2014 – Present</w:t>
            </w:r>
          </w:p>
        </w:tc>
      </w:tr>
    </w:tbl>
    <w:p>
      <w:pPr>
        <w:spacing w:after="120" w:before="230"/>
        <w:ind w:left="820" w:right="820"/>
      </w:pPr>
      <w:r>
        <w:rPr>
          <w:rFonts w:ascii="Calibri" w:cs="Calibri" w:eastAsia="Calibri" w:hAnsi="Calibri"/>
          <w:b/>
          <w:bCs/>
          <w:color w:val="9A7C2F"/>
          <w:spacing w:val="24"/>
          <w:sz w:val="17"/>
          <w:szCs w:val="17"/>
        </w:rPr>
        <w:t xml:space="preserve">GOVERNANCE EXPERTISE</w:t>
      </w:r>
    </w:p>
    <w:p>
      <w:pPr>
        <w:spacing w:after="0" w:line="320" w:lineRule="atLeast"/>
        <w:ind w:left="820" w:right="820"/>
      </w:pP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Audit &amp; Financial Oversight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CEO Succession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M&amp;A &amp; Strategy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Risk &amp; Compliance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Executive Compensation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ESG </w:t>
      </w:r>
    </w:p>
    <w:p>
      <w:pPr>
        <w:spacing w:after="130" w:before="230"/>
        <w:ind w:left="820" w:right="820"/>
      </w:pPr>
      <w:r>
        <w:rPr>
          <w:rFonts w:ascii="Calibri" w:cs="Calibri" w:eastAsia="Calibri" w:hAnsi="Calibri"/>
          <w:b/>
          <w:bCs/>
          <w:color w:val="9A7C2F"/>
          <w:spacing w:val="24"/>
          <w:sz w:val="17"/>
          <w:szCs w:val="17"/>
        </w:rPr>
        <w:t xml:space="preserve">OPERATING EXPERIENCE</w:t>
      </w:r>
    </w:p>
    <w:tbl>
      <w:tblPr>
        <w:tblW w:type="dxa" w:w="10600"/>
        <w:tblInd w:type="dxa" w:w="8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20D"/>
                <w:sz w:val="20"/>
                <w:szCs w:val="20"/>
              </w:rPr>
              <w:t xml:space="preserve">Chief Executive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C"/>
                <w:sz w:val="17"/>
                <w:szCs w:val="17"/>
              </w:rPr>
              <w:t xml:space="preserve">2006 – 2016</w:t>
            </w:r>
          </w:p>
        </w:tc>
      </w:tr>
    </w:tbl>
    <w:p>
      <w:pPr>
        <w:spacing w:after="40"/>
        <w:ind w:left="820" w:right="820"/>
      </w:pPr>
      <w:r>
        <w:rPr>
          <w:rFonts w:ascii="Calibri" w:cs="Calibri" w:eastAsia="Calibri" w:hAnsi="Calibri"/>
          <w:b/>
          <w:bCs/>
          <w:color w:val="9A7C2F"/>
          <w:sz w:val="18"/>
          <w:szCs w:val="18"/>
        </w:rPr>
        <w:t xml:space="preserve">Sterling Manufacturing (NYSE) — Hartford, CT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Led a $3B global manufacturer for a decade, doubling revenue and delivering top-quartile TSR.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Navigated the business through the financial crisis and a successful CEO succession.</w:t>
      </w:r>
    </w:p>
    <w:p>
      <w:pPr>
        <w:spacing w:after="110"/>
      </w:pPr>
    </w:p>
    <w:tbl>
      <w:tblPr>
        <w:tblW w:type="dxa" w:w="10600"/>
        <w:tblInd w:type="dxa" w:w="8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20D"/>
                <w:sz w:val="20"/>
                <w:szCs w:val="20"/>
              </w:rPr>
              <w:t xml:space="preserve">Chief Financial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C"/>
                <w:sz w:val="17"/>
                <w:szCs w:val="17"/>
              </w:rPr>
              <w:t xml:space="preserve">2000 – 2006</w:t>
            </w:r>
          </w:p>
        </w:tc>
      </w:tr>
    </w:tbl>
    <w:p>
      <w:pPr>
        <w:spacing w:after="40"/>
        <w:ind w:left="820" w:right="820"/>
      </w:pPr>
      <w:r>
        <w:rPr>
          <w:rFonts w:ascii="Calibri" w:cs="Calibri" w:eastAsia="Calibri" w:hAnsi="Calibri"/>
          <w:b/>
          <w:bCs/>
          <w:color w:val="9A7C2F"/>
          <w:sz w:val="18"/>
          <w:szCs w:val="18"/>
        </w:rPr>
        <w:t xml:space="preserve">Sterling Manufacturing — Hartford, CT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Led finance, capital allocation, and investor relations before becoming CEO.</w:t>
      </w:r>
    </w:p>
    <w:p>
      <w:pPr>
        <w:spacing w:after="60"/>
      </w:pPr>
    </w:p>
    <w:tbl>
      <w:tblPr>
        <w:tblW w:type="dxa" w:w="10600"/>
        <w:tblInd w:type="dxa" w:w="820"/>
        <w:tblBorders>
          <w:top w:val="single" w:color="ECE4D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52"/>
        <w:gridCol w:w="5048"/>
      </w:tblGrid>
      <w:tr>
        <w:tc>
          <w:tcPr>
            <w:tcW w:type="dxa" w:w="5552"/>
            <w:tcBorders>
              <w:top w:val="none" w:color="FFFFFF" w:sz="0"/>
              <w:left w:val="none" w:color="FFFFFF" w:sz="0"/>
              <w:bottom w:val="none" w:color="FFFFFF" w:sz="0"/>
              <w:right w:val="single" w:color="ECE4D2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7C2F"/>
                <w:spacing w:val="14"/>
                <w:sz w:val="17"/>
                <w:szCs w:val="17"/>
              </w:rPr>
              <w:t xml:space="preserve">CREDENTIALS</w:t>
            </w:r>
          </w:p>
          <w:p>
            <w:r>
              <w:rPr>
                <w:rFonts w:ascii="Calibri" w:cs="Calibri" w:eastAsia="Calibri" w:hAnsi="Calibri"/>
                <w:color w:val="39342B"/>
                <w:sz w:val="18"/>
                <w:szCs w:val="18"/>
              </w:rPr>
              <w:t xml:space="preserve">NACD Board Leadership Fellow · CPA (inactive)</w:t>
            </w:r>
          </w:p>
        </w:tc>
        <w:tc>
          <w:tcPr>
            <w:tcW w:type="dxa" w:w="5048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7C2F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120D"/>
                <w:sz w:val="18"/>
                <w:szCs w:val="18"/>
              </w:rPr>
              <w:t xml:space="preserve">MBA — Yale SOM</w:t>
            </w:r>
          </w:p>
          <w:p>
            <w:r>
              <w:rPr>
                <w:rFonts w:ascii="Calibri" w:cs="Calibri" w:eastAsia="Calibri" w:hAnsi="Calibri"/>
                <w:color w:val="39342B"/>
                <w:sz w:val="18"/>
                <w:szCs w:val="18"/>
              </w:rPr>
              <w:t xml:space="preserve">B.A., Economics — Williams College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42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ecnmo17dw3ss6fmgqv3r" Type="http://schemas.openxmlformats.org/officeDocument/2006/relationships/hyperlink" Target="mailto:m.sincl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2026-06-19T20:43:03.863Z</dcterms:created>
  <dcterms:modified xsi:type="dcterms:W3CDTF">2026-06-19T20:43:03.863Z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