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ind w:left="0" w:right="0"/>
        <w:jc w:val="center"/>
      </w:pPr>
      <w:r>
        <w:rPr>
          <w:rFonts w:ascii="Garamond" w:cs="Garamond" w:eastAsia="Garamond" w:hAnsi="Garamond"/>
          <w:color w:val="1B1614"/>
          <w:sz w:val="69"/>
          <w:szCs w:val="69"/>
        </w:rPr>
        <w:t xml:space="preserve">Jonathan A. Whitmore</w:t>
      </w:r>
    </w:p>
    <w:p>
      <w:pPr>
        <w:spacing w:after="120"/>
        <w:ind w:left="0" w:right="0"/>
        <w:jc w:val="center"/>
      </w:pPr>
      <w:r>
        <w:rPr>
          <w:rFonts w:ascii="Calibri" w:cs="Calibri" w:eastAsia="Calibri" w:hAnsi="Calibri"/>
          <w:b/>
          <w:bCs/>
          <w:color w:val="33373D"/>
          <w:spacing w:val="40"/>
          <w:sz w:val="18"/>
          <w:szCs w:val="18"/>
        </w:rPr>
        <w:t xml:space="preserve">CHIEF EXECUTIVE OFFICER</w:t>
      </w:r>
    </w:p>
    <w:p>
      <w:pPr>
        <w:pBdr>
          <w:bottom w:val="single" w:color="D9D2CB" w:sz="8"/>
        </w:pBdr>
        <w:spacing w:after="0"/>
        <w:ind w:left="0" w:right="0"/>
        <w:jc w:val="center"/>
      </w:pPr>
      <w:r>
        <w:rPr>
          <w:rFonts w:ascii="Calibri" w:cs="Calibri" w:eastAsia="Calibri" w:hAnsi="Calibri"/>
          <w:color w:val="6C635D"/>
          <w:sz w:val="17"/>
          <w:szCs w:val="17"/>
        </w:rPr>
        <w:t xml:space="preserve">New York, NY   ·   (212) 555-0142   ·   </w:t>
      </w:r>
      <w:hyperlink w:history="1" r:id="rIdn0v6jhzgsnlcotg9iq-xr">
        <w:r>
          <w:rPr>
            <w:rFonts w:ascii="Calibri" w:cs="Calibri" w:eastAsia="Calibri" w:hAnsi="Calibri"/>
            <w:color w:val="6C635D"/>
            <w:sz w:val="17"/>
            <w:szCs w:val="17"/>
          </w:rPr>
          <w:t xml:space="preserve">j.whitmore@email.com</w:t>
        </w:r>
      </w:hyperlink>
      <w:r>
        <w:rPr>
          <w:rFonts w:ascii="Calibri" w:cs="Calibri" w:eastAsia="Calibri" w:hAnsi="Calibri"/>
          <w:color w:val="6C635D"/>
          <w:sz w:val="17"/>
          <w:szCs w:val="17"/>
        </w:rPr>
        <w:t xml:space="preserve">   ·   in/jonathanwhitmore</w:t>
      </w:r>
    </w:p>
    <w:p>
      <w:pPr>
        <w:spacing w:after="230" w:before="240"/>
        <w:jc w:val="center"/>
      </w:pPr>
      <w:r>
        <w:rPr>
          <w:rFonts w:ascii="Calibri" w:cs="Calibri" w:eastAsia="Calibri" w:hAnsi="Calibri"/>
          <w:color w:val="3C3530"/>
          <w:sz w:val="20"/>
          <w:szCs w:val="20"/>
        </w:rPr>
        <w:t xml:space="preserve">Transformational CEO who scales companies and creates durable shareholder value. Two decades leading consumer and technology businesses from growth stage through global scale — setting strategy, building world-class teams, and delivering through public-market and private-equity ownership.</w:t>
      </w:r>
    </w:p>
    <w:tbl>
      <w:tblPr>
        <w:tblW w:type="dxa" w:w="10600"/>
        <w:tblBorders>
          <w:top w:val="single" w:color="ECE5DE" w:sz="4"/>
          <w:left w:val="none"/>
          <w:bottom w:val="single" w:color="ECE5DE" w:sz="4"/>
          <w:right w:val="none"/>
          <w:insideH w:val="none"/>
          <w:insideV w:val="none"/>
        </w:tblBorders>
        <w:tblLayout w:type="fixed"/>
      </w:tblPr>
      <w:tblGrid>
        <w:gridCol w:w="2632"/>
        <w:gridCol w:w="24"/>
        <w:gridCol w:w="2632"/>
        <w:gridCol w:w="24"/>
        <w:gridCol w:w="2632"/>
        <w:gridCol w:w="24"/>
        <w:gridCol w:w="2632"/>
      </w:tblGrid>
      <w:tr>
        <w:tc>
          <w:tcPr>
            <w:tcW w:type="dxa" w:w="2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33373D"/>
                <w:sz w:val="45"/>
                <w:szCs w:val="45"/>
              </w:rPr>
              <w:t xml:space="preserve">$1.2B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REVENUE LED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5DE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33373D"/>
                <w:sz w:val="45"/>
                <w:szCs w:val="45"/>
              </w:rPr>
              <w:t xml:space="preserve">3.1×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EBITDA GROWTH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5DE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33373D"/>
                <w:sz w:val="45"/>
                <w:szCs w:val="45"/>
              </w:rPr>
              <w:t xml:space="preserve">4,500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EMPLOYEES</w:t>
            </w:r>
          </w:p>
        </w:tc>
        <w:tc>
          <w:tcPr>
            <w:tcW w:type="dxa" w:w="2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00"/>
              <w:bottom w:type="dxa" w:w="190"/>
            </w:tcMar>
          </w:tcPr>
          <w:p>
            <w:pPr>
              <w:pBdr>
                <w:right w:val="single" w:color="ECE5DE" w:sz="6"/>
              </w:pBdr>
              <w:spacing w:line="200" w:lineRule="atLeas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80"/>
              <w:left w:type="dxa" w:w="40"/>
              <w:bottom w:type="dxa" w:w="170"/>
              <w:right w:type="dxa" w:w="4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33373D"/>
                <w:sz w:val="45"/>
                <w:szCs w:val="45"/>
              </w:rPr>
              <w:t xml:space="preserve">18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8178"/>
                <w:spacing w:val="8"/>
                <w:sz w:val="13"/>
                <w:szCs w:val="13"/>
              </w:rPr>
              <w:t xml:space="preserve">COUNTRIES</w:t>
            </w:r>
          </w:p>
        </w:tc>
      </w:tr>
    </w:tbl>
    <w:p>
      <w:pPr>
        <w:spacing w:after="120" w:before="230"/>
      </w:pPr>
      <w:r>
        <w:rPr>
          <w:rFonts w:ascii="Calibri" w:cs="Calibri" w:eastAsia="Calibri" w:hAnsi="Calibri"/>
          <w:b/>
          <w:bCs/>
          <w:color w:val="33373D"/>
          <w:spacing w:val="24"/>
          <w:sz w:val="17"/>
          <w:szCs w:val="17"/>
        </w:rPr>
        <w:t xml:space="preserve">SELECTED CAREER HIGHLIGHTS</w:t>
      </w:r>
    </w:p>
    <w:p>
      <w:pPr>
        <w:pBdr>
          <w:left w:val="single" w:color="33373D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Grew revenue from </w:t>
      </w:r>
      <w:r>
        <w:rPr>
          <w:rFonts w:ascii="Calibri" w:cs="Calibri" w:eastAsia="Calibri" w:hAnsi="Calibri"/>
          <w:b/>
          <w:bCs/>
          <w:color w:val="3C3530"/>
          <w:sz w:val="19"/>
          <w:szCs w:val="19"/>
        </w:rPr>
        <w:t xml:space="preserve">$390M to $1.2B</w:t>
      </w: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 in seven years through organic growth and disciplined M&amp;A.</w:t>
      </w:r>
    </w:p>
    <w:p>
      <w:pPr>
        <w:pBdr>
          <w:left w:val="single" w:color="33373D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Led a </w:t>
      </w:r>
      <w:r>
        <w:rPr>
          <w:rFonts w:ascii="Calibri" w:cs="Calibri" w:eastAsia="Calibri" w:hAnsi="Calibri"/>
          <w:b/>
          <w:bCs/>
          <w:color w:val="3C3530"/>
          <w:sz w:val="19"/>
          <w:szCs w:val="19"/>
        </w:rPr>
        <w:t xml:space="preserve">$2.4B IPO</w:t>
      </w: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; delivered three consecutive years of top-quartile total shareholder return.</w:t>
      </w:r>
    </w:p>
    <w:p>
      <w:pPr>
        <w:pBdr>
          <w:left w:val="single" w:color="33373D" w:sz="22"/>
        </w:pBdr>
        <w:spacing w:after="90"/>
        <w:ind w:left="220" w:right="0"/>
      </w:pP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Expanded into </w:t>
      </w:r>
      <w:r>
        <w:rPr>
          <w:rFonts w:ascii="Calibri" w:cs="Calibri" w:eastAsia="Calibri" w:hAnsi="Calibri"/>
          <w:b/>
          <w:bCs/>
          <w:color w:val="3C3530"/>
          <w:sz w:val="19"/>
          <w:szCs w:val="19"/>
        </w:rPr>
        <w:t xml:space="preserve">11 new countries</w:t>
      </w:r>
      <w:r>
        <w:rPr>
          <w:rFonts w:ascii="Calibri" w:cs="Calibri" w:eastAsia="Calibri" w:hAnsi="Calibri"/>
          <w:b w:val="false"/>
          <w:bCs w:val="false"/>
          <w:color w:val="3C3530"/>
          <w:sz w:val="19"/>
          <w:szCs w:val="19"/>
        </w:rPr>
        <w:t xml:space="preserve"> and tripled EBITDA margin through operating discipline.</w:t>
      </w:r>
    </w:p>
    <w:p>
      <w:pPr>
        <w:spacing w:after="130" w:before="230"/>
      </w:pPr>
      <w:r>
        <w:rPr>
          <w:rFonts w:ascii="Calibri" w:cs="Calibri" w:eastAsia="Calibri" w:hAnsi="Calibri"/>
          <w:b/>
          <w:bCs/>
          <w:color w:val="33373D"/>
          <w:spacing w:val="24"/>
          <w:sz w:val="17"/>
          <w:szCs w:val="17"/>
        </w:rPr>
        <w:t xml:space="preserve">EXECUTIVE EXPERIENCE</w:t>
      </w:r>
    </w:p>
    <w:tbl>
      <w:tblPr>
        <w:tblW w:type="dxa" w:w="10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00"/>
        <w:gridCol w:w="1700"/>
      </w:tblGrid>
      <w:tr>
        <w:tc>
          <w:tcPr>
            <w:tcW w:type="dxa" w:w="8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614"/>
                <w:sz w:val="20"/>
                <w:szCs w:val="20"/>
              </w:rPr>
              <w:t xml:space="preserve">Chief Executive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96"/>
                <w:sz w:val="17"/>
                <w:szCs w:val="17"/>
              </w:rPr>
              <w:t xml:space="preserve">2017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3373D"/>
          <w:sz w:val="18"/>
          <w:szCs w:val="18"/>
        </w:rPr>
        <w:t xml:space="preserve">Meridian Brands (NYSE: MRDN)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Set and executed the strategy that more than tripled revenue and took the company public.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Built a 12-person executive team and a high-performance, accountable culture across 18 countries.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Completed and integrated six acquisitions totaling $900M in enterprise value.</w:t>
      </w:r>
    </w:p>
    <w:p>
      <w:pPr>
        <w:spacing w:after="110"/>
      </w:pPr>
    </w:p>
    <w:tbl>
      <w:tblPr>
        <w:tblW w:type="dxa" w:w="10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00"/>
        <w:gridCol w:w="1700"/>
      </w:tblGrid>
      <w:tr>
        <w:tc>
          <w:tcPr>
            <w:tcW w:type="dxa" w:w="8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614"/>
                <w:sz w:val="20"/>
                <w:szCs w:val="20"/>
              </w:rPr>
              <w:t xml:space="preserve">President &amp; Chief Operating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96"/>
                <w:sz w:val="17"/>
                <w:szCs w:val="17"/>
              </w:rPr>
              <w:t xml:space="preserve">2012 – 2017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3373D"/>
          <w:sz w:val="18"/>
          <w:szCs w:val="18"/>
        </w:rPr>
        <w:t xml:space="preserve">Harborview Consumer Group — Boston, MA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Ran global operations for a $600M division; expanded operating margin 700 basis points.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Promoted to CEO of the parent on the strength of the turnaround.</w:t>
      </w:r>
    </w:p>
    <w:p>
      <w:pPr>
        <w:spacing w:after="110"/>
      </w:pPr>
    </w:p>
    <w:tbl>
      <w:tblPr>
        <w:tblW w:type="dxa" w:w="10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00"/>
        <w:gridCol w:w="1700"/>
      </w:tblGrid>
      <w:tr>
        <w:tc>
          <w:tcPr>
            <w:tcW w:type="dxa" w:w="8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B1614"/>
                <w:sz w:val="20"/>
                <w:szCs w:val="20"/>
              </w:rPr>
              <w:t xml:space="preserve">SVP, Strategy &amp; Corporate Development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F96"/>
                <w:sz w:val="17"/>
                <w:szCs w:val="17"/>
              </w:rPr>
              <w:t xml:space="preserve">2008 – 2012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33373D"/>
          <w:sz w:val="18"/>
          <w:szCs w:val="18"/>
        </w:rPr>
        <w:t xml:space="preserve">The Procter &amp; Gamble Company — Cincinnati, OH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C3530"/>
          <w:sz w:val="19"/>
          <w:szCs w:val="19"/>
        </w:rPr>
        <w:t xml:space="preserve">Led corporate strategy and M&amp;A for a multi-billion-dollar global category.</w:t>
      </w:r>
    </w:p>
    <w:p>
      <w:pPr>
        <w:spacing w:after="60"/>
      </w:pPr>
    </w:p>
    <w:tbl>
      <w:tblPr>
        <w:tblW w:type="dxa" w:w="10600"/>
        <w:tblBorders>
          <w:top w:val="single" w:color="ECE5DE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52"/>
        <w:gridCol w:w="5048"/>
      </w:tblGrid>
      <w:tr>
        <w:tc>
          <w:tcPr>
            <w:tcW w:type="dxa" w:w="5552"/>
            <w:tcBorders>
              <w:top w:val="none" w:color="FFFFFF" w:sz="0"/>
              <w:left w:val="none" w:color="FFFFFF" w:sz="0"/>
              <w:bottom w:val="none" w:color="FFFFFF" w:sz="0"/>
              <w:right w:val="single" w:color="ECE5DE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33373D"/>
                <w:spacing w:val="14"/>
                <w:sz w:val="17"/>
                <w:szCs w:val="17"/>
              </w:rPr>
              <w:t xml:space="preserve">BOARDS</w:t>
            </w:r>
          </w:p>
          <w:p>
            <w:r>
              <w:rPr>
                <w:rFonts w:ascii="Calibri" w:cs="Calibri" w:eastAsia="Calibri" w:hAnsi="Calibri"/>
                <w:color w:val="3C3530"/>
                <w:sz w:val="18"/>
                <w:szCs w:val="18"/>
              </w:rPr>
              <w:t xml:space="preserve">Director, Cedar Retail (NYSE) · Trustee, Northeastern University</w:t>
            </w:r>
          </w:p>
        </w:tc>
        <w:tc>
          <w:tcPr>
            <w:tcW w:type="dxa" w:w="5048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33373D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B1614"/>
                <w:sz w:val="18"/>
                <w:szCs w:val="18"/>
              </w:rPr>
              <w:t xml:space="preserve">MBA — Harvard Business School</w:t>
            </w:r>
          </w:p>
          <w:p>
            <w:r>
              <w:rPr>
                <w:rFonts w:ascii="Calibri" w:cs="Calibri" w:eastAsia="Calibri" w:hAnsi="Calibri"/>
                <w:color w:val="3C3530"/>
                <w:sz w:val="18"/>
                <w:szCs w:val="18"/>
              </w:rPr>
              <w:t xml:space="preserve">B.A., Economics — Dartmouth College</w:t>
            </w:r>
          </w:p>
        </w:tc>
      </w:tr>
    </w:tbl>
    <w:sectPr>
      <w:pgSz w:w="12240" w:h="15840" w:orient="portrait"/>
      <w:pgMar w:top="720" w:right="820" w:bottom="680" w:left="8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C353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0v6jhzgsnlcotg9iq-xr" Type="http://schemas.openxmlformats.org/officeDocument/2006/relationships/hyperlink" Target="mailto:j.whitmor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2026-06-19T20:43:03.802Z</dcterms:created>
  <dcterms:modified xsi:type="dcterms:W3CDTF">2026-06-19T20:43:03.802Z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