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94A" w:color="auto" w:val="clear"/>
            <w:tcMar>
              <w:top w:type="dxa" w:w="520"/>
              <w:left w:type="dxa" w:w="780"/>
              <w:bottom w:type="dxa" w:w="430"/>
              <w:right w:type="dxa" w:w="0"/>
            </w:tcMar>
            <w:vAlign w:val="bottom"/>
          </w:tcPr>
          <w:p>
            <w:pPr>
              <w:spacing w:after="90"/>
            </w:pPr>
            <w:r>
              <w:rPr>
                <w:rFonts w:ascii="Garamond" w:cs="Garamond" w:eastAsia="Garamond" w:hAnsi="Garamond"/>
                <w:color w:val="FFFFFF"/>
                <w:sz w:val="63"/>
                <w:szCs w:val="63"/>
              </w:rPr>
              <w:t xml:space="preserve">Catherine Liang</w:t>
            </w:r>
          </w:p>
          <w:p>
            <w:r>
              <w:rPr>
                <w:rFonts w:ascii="Calibri" w:cs="Calibri" w:eastAsia="Calibri" w:hAnsi="Calibri"/>
                <w:b/>
                <w:bCs/>
                <w:color w:val="B79A4E"/>
                <w:spacing w:val="26"/>
                <w:sz w:val="18"/>
                <w:szCs w:val="18"/>
              </w:rPr>
              <w:t xml:space="preserve">CHIEF FINANCIAL OFFICER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94A" w:color="auto" w:val="clear"/>
            <w:tcMar>
              <w:top w:type="dxa" w:w="520"/>
              <w:left w:type="dxa" w:w="0"/>
              <w:bottom w:type="dxa" w:w="450"/>
              <w:right w:type="dxa" w:w="78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AB6C9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AAB6C9"/>
                <w:sz w:val="17"/>
                <w:szCs w:val="17"/>
              </w:rPr>
              <w:br/>
              <w:t xml:space="preserve">(415)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k1og3evswrl78dawwfb3y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c.liang@email.com</w:t>
              </w:r>
            </w:hyperlink>
            <w:r>
              <w:rPr>
                <w:rFonts w:ascii="Calibri" w:cs="Calibri" w:eastAsia="Calibri" w:hAnsi="Calibri"/>
                <w:color w:val="AAB6C9"/>
                <w:sz w:val="17"/>
                <w:szCs w:val="17"/>
              </w:rPr>
              <w:br/>
              <w:t xml:space="preserve">in/catherineliang</w:t>
            </w:r>
          </w:p>
        </w:tc>
      </w:tr>
    </w:tbl>
    <w:p>
      <w:pPr>
        <w:spacing w:after="220" w:before="300"/>
        <w:ind w:left="780" w:right="780"/>
      </w:pPr>
      <w:r>
        <w:rPr>
          <w:rFonts w:ascii="Calibri" w:cs="Calibri" w:eastAsia="Calibri" w:hAnsi="Calibri"/>
          <w:color w:val="384252"/>
          <w:sz w:val="20"/>
          <w:szCs w:val="20"/>
        </w:rPr>
        <w:t xml:space="preserve">Strategic CFO who funds growth and builds enterprise value. Eighteen years across finance leadership in high-growth technology — capital markets, M&amp;A, FP&amp;A, and investor relations. A trusted partner to CEOs and boards who has taken companies public and scaled finance organizations for the next chapter.</w:t>
      </w:r>
    </w:p>
    <w:p>
      <w:pPr>
        <w:spacing w:after="120" w:before="0"/>
        <w:ind w:left="780" w:right="780"/>
      </w:pPr>
      <w:r>
        <w:rPr>
          <w:rFonts w:ascii="Calibri" w:cs="Calibri" w:eastAsia="Calibri" w:hAnsi="Calibri"/>
          <w:b/>
          <w:bCs/>
          <w:color w:val="16294A"/>
          <w:spacing w:val="24"/>
          <w:sz w:val="17"/>
          <w:szCs w:val="17"/>
        </w:rPr>
        <w:t xml:space="preserve">VALUE CREATED</w:t>
      </w:r>
    </w:p>
    <w:tbl>
      <w:tblPr>
        <w:tblW w:type="dxa" w:w="10680"/>
        <w:tblInd w:type="dxa" w:w="780"/>
        <w:tblBorders>
          <w:top w:val="single" w:color="DDE3EC" w:sz="4"/>
          <w:left w:val="single" w:color="DDE3EC" w:sz="4"/>
          <w:bottom w:val="single" w:color="DDE3EC" w:sz="4"/>
          <w:right w:val="single" w:color="DDE3EC" w:sz="4"/>
          <w:insideH w:val="none"/>
          <w:insideV w:val="none"/>
        </w:tblBorders>
        <w:tblLayout w:type="fixed"/>
      </w:tblPr>
      <w:tblGrid>
        <w:gridCol w:w="2670"/>
        <w:gridCol w:w="2670"/>
        <w:gridCol w:w="2670"/>
        <w:gridCol w:w="2670"/>
      </w:tblGrid>
      <w:tr>
        <w:tc>
          <w:tcPr>
            <w:tcW w:type="dxa" w:w="267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294A"/>
                <w:sz w:val="44"/>
                <w:szCs w:val="44"/>
              </w:rPr>
              <w:t xml:space="preserve">$3.4B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IPO VALUATION</w:t>
            </w:r>
          </w:p>
        </w:tc>
        <w:tc>
          <w:tcPr>
            <w:tcW w:type="dxa" w:w="2670"/>
            <w:tcBorders>
              <w:top w:val="none"/>
              <w:left w:val="single" w:color="DDE3EC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294A"/>
                <w:sz w:val="44"/>
                <w:szCs w:val="44"/>
              </w:rPr>
              <w:t xml:space="preserve">$1.1B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CAPITAL RAISED</w:t>
            </w:r>
          </w:p>
        </w:tc>
        <w:tc>
          <w:tcPr>
            <w:tcW w:type="dxa" w:w="2670"/>
            <w:tcBorders>
              <w:top w:val="none"/>
              <w:left w:val="single" w:color="DDE3EC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294A"/>
                <w:sz w:val="44"/>
                <w:szCs w:val="44"/>
              </w:rPr>
              <w:t xml:space="preserve">$1.5B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M&amp;A CLOSED</w:t>
            </w:r>
          </w:p>
        </w:tc>
        <w:tc>
          <w:tcPr>
            <w:tcW w:type="dxa" w:w="2670"/>
            <w:tcBorders>
              <w:top w:val="none"/>
              <w:left w:val="single" w:color="DDE3EC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294A"/>
                <w:sz w:val="44"/>
                <w:szCs w:val="44"/>
              </w:rPr>
              <w:t xml:space="preserve">+900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BPS MARGIN</w:t>
            </w:r>
          </w:p>
        </w:tc>
      </w:tr>
    </w:tbl>
    <w:p>
      <w:pPr>
        <w:spacing w:after="130" w:before="240"/>
        <w:ind w:left="780" w:right="780"/>
      </w:pPr>
      <w:r>
        <w:rPr>
          <w:rFonts w:ascii="Calibri" w:cs="Calibri" w:eastAsia="Calibri" w:hAnsi="Calibri"/>
          <w:b/>
          <w:bCs/>
          <w:color w:val="16294A"/>
          <w:spacing w:val="24"/>
          <w:sz w:val="17"/>
          <w:szCs w:val="17"/>
        </w:rPr>
        <w:t xml:space="preserve">EXECUTIVE EXPERIENCE</w:t>
      </w: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2E"/>
                <w:sz w:val="20"/>
                <w:szCs w:val="20"/>
              </w:rPr>
              <w:t xml:space="preserve">Chief Financial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B2"/>
                <w:sz w:val="17"/>
                <w:szCs w:val="17"/>
              </w:rPr>
              <w:t xml:space="preserve">2018 – Present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16294A"/>
          <w:sz w:val="18"/>
          <w:szCs w:val="18"/>
        </w:rPr>
        <w:t xml:space="preserve">Lumina Software (NASDAQ: LMNA) — San Francisco, CA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Led the company’s $3.4B IPO and built the public-company finance, IR, and controls function.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Raised $1.1B in equity and debt to fund growth; expanded operating margin 900 basis points.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Closed $1.5B in acquisitions and led the integration that delivered targeted synergies a year early.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2E"/>
                <w:sz w:val="20"/>
                <w:szCs w:val="20"/>
              </w:rPr>
              <w:t xml:space="preserve">SVP Finance &amp; Treasurer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B2"/>
                <w:sz w:val="17"/>
                <w:szCs w:val="17"/>
              </w:rPr>
              <w:t xml:space="preserve">2013 – 2018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16294A"/>
          <w:sz w:val="18"/>
          <w:szCs w:val="18"/>
        </w:rPr>
        <w:t xml:space="preserve">Salesforce — San Francisco, CA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Led FP&amp;A and treasury for a multi-billion-dollar business unit; managed the global capital structure.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Built the planning model that underpinned the company’s long-range guidance.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2E"/>
                <w:sz w:val="20"/>
                <w:szCs w:val="20"/>
              </w:rPr>
              <w:t xml:space="preserve">Investment Banking — Vice President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B2"/>
                <w:sz w:val="17"/>
                <w:szCs w:val="17"/>
              </w:rPr>
              <w:t xml:space="preserve">2007 – 2013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16294A"/>
          <w:sz w:val="18"/>
          <w:szCs w:val="18"/>
        </w:rPr>
        <w:t xml:space="preserve">Goldman Sachs — New York, NY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Advised technology clients on IPOs, M&amp;A, and capital raises in the TMT group.</w:t>
      </w:r>
    </w:p>
    <w:p>
      <w:pPr>
        <w:spacing w:after="60"/>
      </w:pPr>
    </w:p>
    <w:tbl>
      <w:tblPr>
        <w:tblW w:type="dxa" w:w="10680"/>
        <w:tblInd w:type="dxa" w:w="780"/>
        <w:tblBorders>
          <w:top w:val="single" w:color="E6EAF0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94"/>
        <w:gridCol w:w="5086"/>
      </w:tblGrid>
      <w:tr>
        <w:tc>
          <w:tcPr>
            <w:tcW w:type="dxa" w:w="5594"/>
            <w:tcBorders>
              <w:top w:val="none" w:color="FFFFFF" w:sz="0"/>
              <w:left w:val="none" w:color="FFFFFF" w:sz="0"/>
              <w:bottom w:val="none" w:color="FFFFFF" w:sz="0"/>
              <w:right w:val="single" w:color="E6EAF0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6294A"/>
                <w:spacing w:val="14"/>
                <w:sz w:val="17"/>
                <w:szCs w:val="17"/>
              </w:rPr>
              <w:t xml:space="preserve">BOARDS &amp; AFFILIATIONS</w:t>
            </w:r>
          </w:p>
          <w:p>
            <w:r>
              <w:rPr>
                <w:rFonts w:ascii="Calibri" w:cs="Calibri" w:eastAsia="Calibri" w:hAnsi="Calibri"/>
                <w:color w:val="384252"/>
                <w:sz w:val="18"/>
                <w:szCs w:val="18"/>
              </w:rPr>
              <w:t xml:space="preserve">Audit Committee Chair, Vertex Health (NYSE) · CFA Institute</w:t>
            </w:r>
          </w:p>
        </w:tc>
        <w:tc>
          <w:tcPr>
            <w:tcW w:type="dxa" w:w="508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6294A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3202E"/>
                <w:sz w:val="18"/>
                <w:szCs w:val="18"/>
              </w:rPr>
              <w:t xml:space="preserve">MBA — Stanford GSB · CFA</w:t>
            </w:r>
          </w:p>
          <w:p>
            <w:r>
              <w:rPr>
                <w:rFonts w:ascii="Calibri" w:cs="Calibri" w:eastAsia="Calibri" w:hAnsi="Calibri"/>
                <w:color w:val="384252"/>
                <w:sz w:val="18"/>
                <w:szCs w:val="18"/>
              </w:rPr>
              <w:t xml:space="preserve">B.S., Economics — Wharton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25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1og3evswrl78dawwfb3y" Type="http://schemas.openxmlformats.org/officeDocument/2006/relationships/hyperlink" Target="mailto:c.liang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2026-06-19T20:43:03.807Z</dcterms:created>
  <dcterms:modified xsi:type="dcterms:W3CDTF">2026-06-19T20:43:03.807Z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