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C2F63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Sophia Laurent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0BCD6"/>
                <w:spacing w:val="26"/>
                <w:sz w:val="18"/>
                <w:szCs w:val="18"/>
              </w:rPr>
              <w:t xml:space="preserve">CHIEF MARKETING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C2F63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E2B7CC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E2B7CC"/>
                <w:sz w:val="17"/>
                <w:szCs w:val="17"/>
              </w:rPr>
              <w:br/>
              <w:t xml:space="preserve">(212) 555-0179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_s64rsonlioxr-negyzng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s.laurent@email.com</w:t>
              </w:r>
            </w:hyperlink>
            <w:r>
              <w:rPr>
                <w:rFonts w:ascii="Calibri" w:cs="Calibri" w:eastAsia="Calibri" w:hAnsi="Calibri"/>
                <w:color w:val="E2B7CC"/>
                <w:sz w:val="17"/>
                <w:szCs w:val="17"/>
              </w:rPr>
              <w:br/>
              <w:t xml:space="preserve">in/sophialaurent</w:t>
            </w:r>
          </w:p>
        </w:tc>
      </w:tr>
    </w:tbl>
    <w:p>
      <w:pPr>
        <w:spacing w:after="210" w:before="300"/>
        <w:ind w:left="780" w:right="780"/>
      </w:pPr>
      <w:r>
        <w:rPr>
          <w:rFonts w:ascii="Calibri" w:cs="Calibri" w:eastAsia="Calibri" w:hAnsi="Calibri"/>
          <w:color w:val="3D3038"/>
          <w:sz w:val="20"/>
          <w:szCs w:val="20"/>
        </w:rPr>
        <w:t xml:space="preserve">Marketing executive who builds brands people love and pipeline the business can bank on. Sixteen years leading brand, demand, and product marketing for consumer and B2B leaders — defining categories, modernizing brands, and engineering demand that compounds. A storyteller who runs marketing as a measurable growth function.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9C2F63"/>
          <w:spacing w:val="24"/>
          <w:sz w:val="17"/>
          <w:szCs w:val="17"/>
        </w:rPr>
        <w:t xml:space="preserve">SCOPE OF LEADERSHIP</w:t>
      </w:r>
    </w:p>
    <w:tbl>
      <w:tblPr>
        <w:tblW w:type="dxa" w:w="10680"/>
        <w:tblInd w:type="dxa" w:w="780"/>
        <w:tblBorders>
          <w:top w:val="single" w:color="ECD4E0" w:sz="4"/>
          <w:left w:val="single" w:color="ECD4E0" w:sz="4"/>
          <w:bottom w:val="single" w:color="ECD4E0" w:sz="4"/>
          <w:right w:val="single" w:color="ECD4E0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C2F63"/>
                <w:sz w:val="44"/>
                <w:szCs w:val="44"/>
              </w:rPr>
              <w:t xml:space="preserve">$90M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MARKETING BUDGET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C2F63"/>
                <w:sz w:val="44"/>
                <w:szCs w:val="44"/>
              </w:rPr>
              <w:t xml:space="preserve">+42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PTS BRAND LIFT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C2F63"/>
                <w:sz w:val="44"/>
                <w:szCs w:val="44"/>
              </w:rPr>
              <w:t xml:space="preserve">$480M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PIPELINE SOURCED</w:t>
            </w:r>
          </w:p>
        </w:tc>
        <w:tc>
          <w:tcPr>
            <w:tcW w:type="dxa" w:w="2670"/>
            <w:tcBorders>
              <w:top w:val="none"/>
              <w:left w:val="single" w:color="ECD4E0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9C2F63"/>
                <w:sz w:val="44"/>
                <w:szCs w:val="44"/>
              </w:rPr>
              <w:t xml:space="preserve">120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MARKETING TEAM</w:t>
            </w:r>
          </w:p>
        </w:tc>
      </w:tr>
    </w:tbl>
    <w:p>
      <w:pPr>
        <w:spacing w:after="120" w:before="230"/>
        <w:ind w:left="780" w:right="780"/>
      </w:pPr>
      <w:r>
        <w:rPr>
          <w:rFonts w:ascii="Calibri" w:cs="Calibri" w:eastAsia="Calibri" w:hAnsi="Calibri"/>
          <w:b/>
          <w:bCs/>
          <w:color w:val="9C2F63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9C2F63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Led a full rebrand that lifted aided awareness </w:t>
      </w:r>
      <w:r>
        <w:rPr>
          <w:rFonts w:ascii="Calibri" w:cs="Calibri" w:eastAsia="Calibri" w:hAnsi="Calibri"/>
          <w:b/>
          <w:bCs/>
          <w:color w:val="3D3038"/>
          <w:sz w:val="19"/>
          <w:szCs w:val="19"/>
        </w:rPr>
        <w:t xml:space="preserve">42 points</w:t>
      </w: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 and repositioned the company upmarket.</w:t>
      </w:r>
    </w:p>
    <w:p>
      <w:pPr>
        <w:pBdr>
          <w:left w:val="single" w:color="9C2F63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Built a demand engine that sourced </w:t>
      </w:r>
      <w:r>
        <w:rPr>
          <w:rFonts w:ascii="Calibri" w:cs="Calibri" w:eastAsia="Calibri" w:hAnsi="Calibri"/>
          <w:b/>
          <w:bCs/>
          <w:color w:val="3D3038"/>
          <w:sz w:val="19"/>
          <w:szCs w:val="19"/>
        </w:rPr>
        <w:t xml:space="preserve">$480M</w:t>
      </w: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 in pipeline and tripled marketing-attributed revenue.</w:t>
      </w:r>
    </w:p>
    <w:p>
      <w:pPr>
        <w:pBdr>
          <w:left w:val="single" w:color="9C2F63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D3038"/>
          <w:sz w:val="19"/>
          <w:szCs w:val="19"/>
        </w:rPr>
        <w:t xml:space="preserve">Created a new product category and the narrative that made the brand the market leader.</w:t>
      </w:r>
    </w:p>
    <w:p>
      <w:pPr>
        <w:spacing w:after="130" w:before="230"/>
        <w:ind w:left="780" w:right="780"/>
      </w:pPr>
      <w:r>
        <w:rPr>
          <w:rFonts w:ascii="Calibri" w:cs="Calibri" w:eastAsia="Calibri" w:hAnsi="Calibri"/>
          <w:b/>
          <w:bCs/>
          <w:color w:val="9C2F63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Chief Marketing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9C2F63"/>
          <w:sz w:val="18"/>
          <w:szCs w:val="18"/>
        </w:rPr>
        <w:t xml:space="preserve">Aurora Software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Own brand, demand, and product marketing — a $90M budget and a 120-person global team.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Built the demand engine and brand platform that tripled marketing-sourced revenue in three years.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Partner with the CRO on a unified GTM and with the board on the brand growth story.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SVP, Brand &amp; Growth Marketing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9C2F63"/>
          <w:sz w:val="18"/>
          <w:szCs w:val="18"/>
        </w:rPr>
        <w:t xml:space="preserve">Peloton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Led brand and performance marketing through a period of explosive growth.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Scaled the paid and lifecycle programs that drove efficient member acquisition.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1019"/>
                <w:sz w:val="20"/>
                <w:szCs w:val="20"/>
              </w:rPr>
              <w:t xml:space="preserve">VP, Marketing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39E"/>
                <w:sz w:val="17"/>
                <w:szCs w:val="17"/>
              </w:rPr>
              <w:t xml:space="preserve">2010 – 2014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9C2F63"/>
          <w:sz w:val="18"/>
          <w:szCs w:val="18"/>
        </w:rPr>
        <w:t xml:space="preserve">Warby Parker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D3038"/>
          <w:sz w:val="19"/>
          <w:szCs w:val="19"/>
        </w:rPr>
        <w:t xml:space="preserve">Built the brand and demand-generation function for a fast-growing DTC pioneer.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FDD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FDDE6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C2F63"/>
                <w:spacing w:val="1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D3038"/>
                <w:sz w:val="18"/>
                <w:szCs w:val="18"/>
              </w:rPr>
              <w:t xml:space="preserve">Brand Strategy · Demand Gen · Product Marketing · Category Creation · Comms · Analytics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9C2F63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F1019"/>
                <w:sz w:val="18"/>
                <w:szCs w:val="18"/>
              </w:rPr>
              <w:t xml:space="preserve">MBA — Columbia Business School</w:t>
            </w:r>
          </w:p>
          <w:p>
            <w:r>
              <w:rPr>
                <w:rFonts w:ascii="Calibri" w:cs="Calibri" w:eastAsia="Calibri" w:hAnsi="Calibri"/>
                <w:color w:val="3D3038"/>
                <w:sz w:val="18"/>
                <w:szCs w:val="18"/>
              </w:rPr>
              <w:t xml:space="preserve">B.A., Communications — USC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0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s64rsonlioxr-negyzng" Type="http://schemas.openxmlformats.org/officeDocument/2006/relationships/hyperlink" Target="mailto:s.lauren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2026-06-19T20:43:03.902Z</dcterms:created>
  <dcterms:modified xsi:type="dcterms:W3CDTF">2026-06-19T20:43:03.902Z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