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D8CDC4" w:sz="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1C1410"/>
                <w:sz w:val="60"/>
                <w:szCs w:val="60"/>
              </w:rPr>
              <w:t xml:space="preserve">Daniel Okafor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2436"/>
                <w:spacing w:val="22"/>
                <w:sz w:val="18"/>
                <w:szCs w:val="18"/>
              </w:rPr>
              <w:t xml:space="preserve">CHIEF REVENUE OFFICER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(404)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upiunjlpw7yf45siuzf2">
              <w:r>
                <w:rPr>
                  <w:rFonts w:ascii="Calibri" w:cs="Calibri" w:eastAsia="Calibri" w:hAnsi="Calibri"/>
                  <w:color w:val="7A2436"/>
                  <w:sz w:val="17"/>
                  <w:szCs w:val="17"/>
                  <w:u w:val="single"/>
                </w:rPr>
                <w:t xml:space="preserve">d.okafor@email.com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in/danielokafor</w:t>
            </w:r>
          </w:p>
        </w:tc>
      </w:tr>
    </w:tbl>
    <w:p>
      <w:pPr>
        <w:spacing w:after="210" w:before="200"/>
      </w:pPr>
      <w:r>
        <w:rPr>
          <w:rFonts w:ascii="Calibri" w:cs="Calibri" w:eastAsia="Calibri" w:hAnsi="Calibri"/>
          <w:color w:val="3E352F"/>
          <w:sz w:val="20"/>
          <w:szCs w:val="20"/>
        </w:rPr>
        <w:t xml:space="preserve">Revenue leader who builds the engine that compounds growth. Sixteen years owning the full go-to-market — sales, marketing, and customer success — for high-growth B2B software. I scale teams, build predictable pipeline, and turn a founder-led motion into a repeatable, durable revenue machine.</w:t>
      </w:r>
    </w:p>
    <w:tbl>
      <w:tblPr>
        <w:tblW w:type="dxa" w:w="10640"/>
        <w:tblBorders>
          <w:top w:val="single" w:color="ECE2DA" w:sz="4"/>
          <w:left w:val="none"/>
          <w:bottom w:val="single" w:color="ECE2DA" w:sz="4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2436"/>
                <w:sz w:val="36"/>
                <w:szCs w:val="36"/>
              </w:rPr>
              <w:t xml:space="preserve">$50M→$340M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ARR GROWTH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2436"/>
                <w:sz w:val="36"/>
                <w:szCs w:val="36"/>
              </w:rPr>
              <w:t xml:space="preserve">280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GTM TEAM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2436"/>
                <w:sz w:val="36"/>
                <w:szCs w:val="36"/>
              </w:rPr>
              <w:t xml:space="preserve">128%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NET REVENUE RETENTION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2DA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7A2436"/>
                <w:sz w:val="36"/>
                <w:szCs w:val="36"/>
              </w:rPr>
              <w:t xml:space="preserve">3.4×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PIPELINE GROWTH</w:t>
            </w:r>
          </w:p>
        </w:tc>
      </w:tr>
    </w:tbl>
    <w:p>
      <w:pPr>
        <w:spacing w:after="130" w:before="240"/>
      </w:pPr>
      <w:r>
        <w:rPr>
          <w:rFonts w:ascii="Calibri" w:cs="Calibri" w:eastAsia="Calibri" w:hAnsi="Calibri"/>
          <w:b/>
          <w:bCs/>
          <w:color w:val="7A2436"/>
          <w:spacing w:val="24"/>
          <w:sz w:val="17"/>
          <w:szCs w:val="17"/>
        </w:rPr>
        <w:t xml:space="preserve">EXECUTIVE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Chief Revenue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436"/>
          <w:sz w:val="18"/>
          <w:szCs w:val="18"/>
        </w:rPr>
        <w:t xml:space="preserve">Northwind Cloud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Scaled ARR from $50M to $340M, building a 280-person global go-to-market organization.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Raised net revenue retention to 128% and built a 3.4× pipeline-coverage discipline.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Architected the segmentation and pricing strategy that drove enterprise expansion.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SVP, Global Sales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436"/>
          <w:sz w:val="18"/>
          <w:szCs w:val="18"/>
        </w:rPr>
        <w:t xml:space="preserve">HubSpot — Cambridge,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Led a 150-rep sales organization to four years of 30%+ growth.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Built the enterprise motion that opened a new, larger market segment.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410"/>
                <w:sz w:val="20"/>
                <w:szCs w:val="20"/>
              </w:rPr>
              <w:t xml:space="preserve">VP, Marketing &amp; Demand Gen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98D"/>
                <w:sz w:val="17"/>
                <w:szCs w:val="17"/>
              </w:rPr>
              <w:t xml:space="preserve">2011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436"/>
          <w:sz w:val="18"/>
          <w:szCs w:val="18"/>
        </w:rPr>
        <w:t xml:space="preserve">Marketo — San Mateo,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E352F"/>
          <w:sz w:val="19"/>
          <w:szCs w:val="19"/>
        </w:rPr>
        <w:t xml:space="preserve">Built the demand-generation engine that fueled the company’s hypergrowth.</w:t>
      </w:r>
    </w:p>
    <w:p>
      <w:pPr>
        <w:spacing w:after="60"/>
      </w:pPr>
    </w:p>
    <w:tbl>
      <w:tblPr>
        <w:tblW w:type="dxa" w:w="10640"/>
        <w:tblBorders>
          <w:top w:val="single" w:color="ECE2D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CE2DA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436"/>
                <w:spacing w:val="1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E352F"/>
                <w:sz w:val="18"/>
                <w:szCs w:val="18"/>
              </w:rPr>
              <w:t xml:space="preserve">GTM Strategy · Enterprise Sales · Demand Gen · Pricing · RevOps · Customer Success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436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C1410"/>
                <w:sz w:val="18"/>
                <w:szCs w:val="18"/>
              </w:rPr>
              <w:t xml:space="preserve">MBA — Duke (Fuqua)</w:t>
            </w:r>
          </w:p>
          <w:p>
            <w:r>
              <w:rPr>
                <w:rFonts w:ascii="Calibri" w:cs="Calibri" w:eastAsia="Calibri" w:hAnsi="Calibri"/>
                <w:color w:val="3E352F"/>
                <w:sz w:val="18"/>
                <w:szCs w:val="18"/>
              </w:rPr>
              <w:t xml:space="preserve">B.A., Marketing — Morehouse College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5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upiunjlpw7yf45siuzf2" Type="http://schemas.openxmlformats.org/officeDocument/2006/relationships/hyperlink" Target="mailto:d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2026-06-19T20:43:03.859Z</dcterms:created>
  <dcterms:modified xsi:type="dcterms:W3CDTF">2026-06-19T20:43:03.859Z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