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5201D"/>
                <w:sz w:val="57"/>
                <w:szCs w:val="57"/>
              </w:rPr>
              <w:t xml:space="preserve">Nathan Brooks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3A5C"/>
                <w:spacing w:val="22"/>
                <w:sz w:val="18"/>
                <w:szCs w:val="18"/>
              </w:rPr>
              <w:t xml:space="preserve">CORPORATE FINANCE &amp; M&amp;A ANALYST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br/>
              <w:t xml:space="preserve">(312) 555-0177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sqpmlbuwfdklmbbvyiofm">
              <w:r>
                <w:rPr>
                  <w:rFonts w:ascii="Calibri" w:cs="Calibri" w:eastAsia="Calibri" w:hAnsi="Calibri"/>
                  <w:color w:val="1F3A5C"/>
                  <w:sz w:val="17"/>
                  <w:szCs w:val="17"/>
                  <w:u w:val="single"/>
                </w:rPr>
                <w:t xml:space="preserve">n.brooks@email.com</w:t>
              </w:r>
            </w:hyperlink>
            <w:r>
              <w:rPr>
                <w:rFonts w:ascii="Calibri" w:cs="Calibri" w:eastAsia="Calibri" w:hAnsi="Calibri"/>
                <w:color w:val="5F6A66"/>
                <w:sz w:val="17"/>
                <w:szCs w:val="17"/>
              </w:rPr>
              <w:br/>
              <w:t xml:space="preserve">in/nathanbrooks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73F3C"/>
          <w:sz w:val="20"/>
          <w:szCs w:val="20"/>
        </w:rPr>
        <w:t xml:space="preserve">Corporate finance analyst who runs the numbers behind the deal. Six years modeling acquisitions, capital allocation, and financing for a strategic acquirer — $1.2B in closed transactions. I build the model, run diligence, and pressure-test whether a deal actually creates value.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SELECTED TRANSACTIONS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53"/>
        <w:gridCol w:w="160"/>
        <w:gridCol w:w="3453"/>
        <w:gridCol w:w="160"/>
        <w:gridCol w:w="3453"/>
      </w:tblGrid>
      <w:tr>
        <w:tc>
          <w:tcPr>
            <w:tcW w:type="dxa" w:w="3453"/>
            <w:tcBorders>
              <w:top w:val="single" w:color="1F3A5C" w:sz="18"/>
              <w:left w:val="single" w:color="D6E0EC" w:sz="3"/>
              <w:bottom w:val="single" w:color="D6E0EC" w:sz="3"/>
              <w:right w:val="single" w:color="D6E0EC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$540M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Acquisition of LogiTech Mfg.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BUY-SIDE · 2024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single" w:color="1F3A5C" w:sz="18"/>
              <w:left w:val="single" w:color="D6E0EC" w:sz="3"/>
              <w:bottom w:val="single" w:color="D6E0EC" w:sz="3"/>
              <w:right w:val="single" w:color="D6E0EC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$310M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Divestiture of Consumer Unit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SELL-SIDE · 2023</w:t>
            </w:r>
          </w:p>
        </w:tc>
        <w:tc>
          <w:tcPr>
            <w:tcW w:type="dxa" w:w="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single" w:color="1F3A5C" w:sz="18"/>
              <w:left w:val="single" w:color="D6E0EC" w:sz="3"/>
              <w:bottom w:val="single" w:color="D6E0EC" w:sz="3"/>
              <w:right w:val="single" w:color="D6E0EC" w:sz="3"/>
            </w:tcBorders>
            <w:tcMar>
              <w:top w:type="dxa" w:w="150"/>
              <w:left w:type="dxa" w:w="120"/>
              <w:bottom w:type="dxa" w:w="140"/>
              <w:right w:type="dxa" w:w="1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15201D"/>
                <w:sz w:val="23"/>
                <w:szCs w:val="23"/>
              </w:rPr>
              <w:t xml:space="preserve">$350M</w:t>
            </w:r>
          </w:p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6524E"/>
                <w:sz w:val="15"/>
                <w:szCs w:val="15"/>
              </w:rPr>
              <w:t xml:space="preserve">Senior Notes Issuance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A948F"/>
                <w:spacing w:val="4"/>
                <w:sz w:val="11"/>
                <w:szCs w:val="11"/>
              </w:rPr>
              <w:t xml:space="preserve">FINANCING · 2022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1F3A5C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Senior Corporate Finance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Caterpillar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Model and run diligence on M&amp;A across the corporate development team — $1.2B in closed deals.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the accretion/dilution and LBO models for a $540M acquisition that closed on schedule.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Lead the annual capital-allocation analysis informing $300M+ in investment decisions.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Corporate Finance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Abbott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Supported capital budgeting and financing analysis for the medical-devices division.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the model behind a $350M senior-notes issuance.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5201D"/>
                <w:sz w:val="20"/>
                <w:szCs w:val="20"/>
              </w:rPr>
              <w:t xml:space="preserve">Investment Banking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39E"/>
                <w:sz w:val="17"/>
                <w:szCs w:val="17"/>
              </w:rPr>
              <w:t xml:space="preserve">2017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3A5C"/>
          <w:sz w:val="18"/>
          <w:szCs w:val="18"/>
        </w:rPr>
        <w:t xml:space="preserve">Lincoln International — Chicago, IL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F3C"/>
          <w:sz w:val="19"/>
          <w:szCs w:val="19"/>
        </w:rPr>
        <w:t xml:space="preserve">Built merger models, CIMs, and valuation materials for middle-market M&amp;A.</w:t>
      </w:r>
    </w:p>
    <w:p>
      <w:pPr>
        <w:spacing w:after="60"/>
      </w:pPr>
    </w:p>
    <w:tbl>
      <w:tblPr>
        <w:tblW w:type="dxa" w:w="10680"/>
        <w:tblBorders>
          <w:top w:val="single" w:color="E2E8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Excel / VBA · Capital IQ · FactSet · PitchBook · SAP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E2E8F0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5201D"/>
                <w:sz w:val="18"/>
                <w:szCs w:val="18"/>
              </w:rPr>
              <w:t xml:space="preserve">CFA Level II Candidate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B.B.A., Finance — Univ. of Michigan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3A5C"/>
                <w:spacing w:val="16"/>
                <w:sz w:val="17"/>
                <w:szCs w:val="17"/>
              </w:rPr>
              <w:t xml:space="preserve">EXPERTISE</w:t>
            </w:r>
          </w:p>
          <w:p>
            <w:r>
              <w:rPr>
                <w:rFonts w:ascii="Calibri" w:cs="Calibri" w:eastAsia="Calibri" w:hAnsi="Calibri"/>
                <w:color w:val="373F3C"/>
                <w:sz w:val="18"/>
                <w:szCs w:val="18"/>
              </w:rPr>
              <w:t xml:space="preserve">M&amp;A Modeling · Valuation · Diligence · Capital Allocation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F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qpmlbuwfdklmbbvyiofm" Type="http://schemas.openxmlformats.org/officeDocument/2006/relationships/hyperlink" Target="mailto:n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2026-06-19T15:37:30.801Z</dcterms:created>
  <dcterms:modified xsi:type="dcterms:W3CDTF">2026-06-19T15:37:30.801Z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