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40"/>
        <w:gridCol w:w="4000"/>
      </w:tblGrid>
      <w:tr>
        <w:trPr>
          <w:trHeight w:val="14600" w:hRule="atLeast"/>
        </w:trPr>
        <w:tc>
          <w:tcPr>
            <w:tcW w:type="dxa" w:w="8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60"/>
              <w:left w:type="dxa" w:w="640"/>
              <w:bottom w:type="dxa" w:w="560"/>
              <w:right w:type="dxa" w:w="540"/>
            </w:tcMar>
            <w:vAlign w:val="top"/>
          </w:tcPr>
          <w:p>
            <w:pPr>
              <w:spacing w:after="50"/>
            </w:pPr>
            <w:r>
              <w:rPr>
                <w:rFonts w:ascii="Garamond" w:cs="Garamond" w:eastAsia="Garamond" w:hAnsi="Garamond"/>
                <w:color w:val="1A1813"/>
                <w:sz w:val="56"/>
                <w:szCs w:val="56"/>
              </w:rPr>
              <w:t xml:space="preserve">Jonathan Pierce, CFA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A5B1E"/>
                <w:spacing w:val="20"/>
                <w:sz w:val="18"/>
                <w:szCs w:val="18"/>
              </w:rPr>
              <w:t xml:space="preserve">EQUITY RESEARCH ANALYST — TMT</w:t>
            </w:r>
          </w:p>
          <w:p>
            <w:pPr>
              <w:spacing w:after="200" w:before="200"/>
            </w:pPr>
            <w:r>
              <w:rPr>
                <w:rFonts w:ascii="Calibri" w:cs="Calibri" w:eastAsia="Calibri" w:hAnsi="Calibri"/>
                <w:color w:val="3E3A32"/>
                <w:sz w:val="20"/>
                <w:szCs w:val="20"/>
              </w:rPr>
              <w:t xml:space="preserve">Equity research analyst covering technology, media, and telecom. Seven years building valuation models, publishing rated coverage, and pitching ideas that beat the benchmark. I do the channel work, stress-test the thesis, and write the note that gets the portfolio manager to act.</w:t>
            </w:r>
          </w:p>
          <w:p>
            <w:pPr>
              <w:spacing w:after="140" w:before="0"/>
            </w:pPr>
            <w:r>
              <w:rPr>
                <w:rFonts w:ascii="Calibri" w:cs="Calibri" w:eastAsia="Calibri" w:hAnsi="Calibri"/>
                <w:b/>
                <w:bCs/>
                <w:color w:val="7A5B1E"/>
                <w:spacing w:val="24"/>
                <w:sz w:val="17"/>
                <w:szCs w:val="17"/>
              </w:rPr>
              <w:t xml:space="preserve">EXPERIENCE</w:t>
            </w:r>
          </w:p>
          <w:tbl>
            <w:tblPr>
              <w:tblW w:type="dxa" w:w="70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60"/>
              <w:gridCol w:w="1700"/>
            </w:tblGrid>
            <w:tr>
              <w:tc>
                <w:tcPr>
                  <w:tcW w:type="dxa" w:w="5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A1813"/>
                      <w:sz w:val="20"/>
                      <w:szCs w:val="20"/>
                    </w:rPr>
                    <w:t xml:space="preserve">Equity Research Analyst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59D8D"/>
                      <w:sz w:val="17"/>
                      <w:szCs w:val="17"/>
                    </w:rPr>
                    <w:t xml:space="preserve">2020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7A5B1E"/>
                <w:sz w:val="18"/>
                <w:szCs w:val="18"/>
              </w:rPr>
              <w:t xml:space="preserve">Morgan Stanley — New York, NY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E3A32"/>
                <w:sz w:val="19"/>
                <w:szCs w:val="19"/>
              </w:rPr>
              <w:t xml:space="preserve">Cover 14 TMT names; published stock calls outperformed the sector benchmark by 9% in 2024.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E3A32"/>
                <w:sz w:val="19"/>
                <w:szCs w:val="19"/>
              </w:rPr>
              <w:t xml:space="preserve">Build and maintain three-statement and DCF models; author initiation and earnings notes.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E3A32"/>
                <w:sz w:val="19"/>
                <w:szCs w:val="19"/>
              </w:rPr>
              <w:t xml:space="preserve">Rated a top-3 analyst by buy-side clients in the annual broker vote two years running.</w:t>
            </w:r>
          </w:p>
          <w:p>
            <w:pPr>
              <w:spacing w:after="110"/>
            </w:pPr>
          </w:p>
          <w:tbl>
            <w:tblPr>
              <w:tblW w:type="dxa" w:w="70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60"/>
              <w:gridCol w:w="1700"/>
            </w:tblGrid>
            <w:tr>
              <w:tc>
                <w:tcPr>
                  <w:tcW w:type="dxa" w:w="5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A1813"/>
                      <w:sz w:val="20"/>
                      <w:szCs w:val="20"/>
                    </w:rPr>
                    <w:t xml:space="preserve">Research Associate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59D8D"/>
                      <w:sz w:val="17"/>
                      <w:szCs w:val="17"/>
                    </w:rPr>
                    <w:t xml:space="preserve">2017 – 2020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7A5B1E"/>
                <w:sz w:val="18"/>
                <w:szCs w:val="18"/>
              </w:rPr>
              <w:t xml:space="preserve">Jefferies — New York, NY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E3A32"/>
                <w:sz w:val="19"/>
                <w:szCs w:val="19"/>
              </w:rPr>
              <w:t xml:space="preserve">Supported a senior analyst across 20 names — modeling, earnings recaps, and client calls.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E3A32"/>
                <w:sz w:val="19"/>
                <w:szCs w:val="19"/>
              </w:rPr>
              <w:t xml:space="preserve">Built the channel-check framework adopted across the sector team.</w:t>
            </w:r>
          </w:p>
          <w:p>
            <w:pPr>
              <w:spacing w:after="110"/>
            </w:pPr>
          </w:p>
          <w:tbl>
            <w:tblPr>
              <w:tblW w:type="dxa" w:w="70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60"/>
              <w:gridCol w:w="1700"/>
            </w:tblGrid>
            <w:tr>
              <w:tc>
                <w:tcPr>
                  <w:tcW w:type="dxa" w:w="5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A1813"/>
                      <w:sz w:val="20"/>
                      <w:szCs w:val="20"/>
                    </w:rPr>
                    <w:t xml:space="preserve">Investment Banking Analyst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59D8D"/>
                      <w:sz w:val="17"/>
                      <w:szCs w:val="17"/>
                    </w:rPr>
                    <w:t xml:space="preserve">2015 – 2017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7A5B1E"/>
                <w:sz w:val="18"/>
                <w:szCs w:val="18"/>
              </w:rPr>
              <w:t xml:space="preserve">Barclays — New York, NY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E3A32"/>
                <w:sz w:val="19"/>
                <w:szCs w:val="19"/>
              </w:rPr>
              <w:t xml:space="preserve">Built LBO and merger models and pitch materials in the TMT coverage group.</w:t>
            </w:r>
          </w:p>
          <w:p>
            <w:pPr>
              <w:spacing w:after="40"/>
            </w:pPr>
          </w:p>
          <w:tbl>
            <w:tblPr>
              <w:tblW w:type="dxa" w:w="7060"/>
              <w:tblBorders>
                <w:top w:val="single" w:color="ECE7DA" w:sz="4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850"/>
              <w:gridCol w:w="3210"/>
            </w:tblGrid>
            <w:tr>
              <w:tc>
                <w:tcPr>
                  <w:tcW w:type="dxa" w:w="38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ECE7DA" w:sz="4"/>
                  </w:tcBorders>
                  <w:tcMar>
                    <w:top w:type="dxa" w:w="150"/>
                    <w:left w:type="dxa" w:w="0"/>
                    <w:bottom w:type="dxa" w:w="40"/>
                    <w:right w:type="dxa" w:w="230"/>
                  </w:tcMar>
                  <w:vAlign w:val="top"/>
                </w:tcPr>
                <w:p>
                  <w:pPr>
                    <w:spacing w:after="8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A5B1E"/>
                      <w:spacing w:val="16"/>
                      <w:sz w:val="17"/>
                      <w:szCs w:val="17"/>
                    </w:rPr>
                    <w:t xml:space="preserve">TOOLS</w:t>
                  </w:r>
                </w:p>
                <w:p>
                  <w:r>
                    <w:rPr>
                      <w:rFonts w:ascii="Calibri" w:cs="Calibri" w:eastAsia="Calibri" w:hAnsi="Calibri"/>
                      <w:color w:val="3E3A32"/>
                      <w:sz w:val="18"/>
                      <w:szCs w:val="18"/>
                    </w:rPr>
                    <w:t xml:space="preserve">Bloomberg Terminal · FactSet · Capital IQ · Excel / VBA</w:t>
                  </w:r>
                </w:p>
              </w:tc>
              <w:tc>
                <w:tcPr>
                  <w:tcW w:type="dxa" w:w="321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/>
                  </w:tcBorders>
                  <w:tcMar>
                    <w:top w:type="dxa" w:w="150"/>
                    <w:left w:type="dxa" w:w="230"/>
                    <w:bottom w:type="dxa" w:w="40"/>
                    <w:right w:type="dxa" w:w="0"/>
                  </w:tcMar>
                  <w:vAlign w:val="top"/>
                </w:tcPr>
                <w:p>
                  <w:pPr>
                    <w:spacing w:after="8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A5B1E"/>
                      <w:spacing w:val="16"/>
                      <w:sz w:val="17"/>
                      <w:szCs w:val="17"/>
                    </w:rPr>
                    <w:t xml:space="preserve">EDUCATION</w:t>
                  </w:r>
                </w:p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1813"/>
                      <w:sz w:val="18"/>
                      <w:szCs w:val="18"/>
                    </w:rPr>
                    <w:t xml:space="preserve">B.S., Finance</w:t>
                  </w:r>
                  <w:r>
                    <w:rPr>
                      <w:rFonts w:ascii="Calibri" w:cs="Calibri" w:eastAsia="Calibri" w:hAnsi="Calibri"/>
                      <w:color w:val="8A8270"/>
                      <w:sz w:val="17"/>
                      <w:szCs w:val="17"/>
                    </w:rPr>
                    <w:br/>
                    <w:t xml:space="preserve">Univ. of Pennsylvania (Wharton)</w:t>
                  </w:r>
                </w:p>
              </w:tc>
            </w:tr>
          </w:tbl>
          <w:p/>
        </w:tc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1813" w:color="auto" w:val="clear"/>
            <w:tcMar>
              <w:top w:type="dxa" w:w="640"/>
              <w:left w:type="dxa" w:w="400"/>
              <w:bottom w:type="dxa" w:w="560"/>
              <w:right w:type="dxa" w:w="430"/>
            </w:tcMar>
            <w:vAlign w:val="top"/>
          </w:tcPr>
          <w:p>
            <w:pPr>
              <w:spacing w:after="180"/>
              <w:jc w:val="right"/>
            </w:pPr>
            <w:r>
              <w:rPr>
                <w:rFonts w:ascii="Calibri" w:cs="Calibri" w:eastAsia="Calibri" w:hAnsi="Calibri"/>
                <w:color w:val="A99F86"/>
                <w:sz w:val="17"/>
                <w:szCs w:val="17"/>
              </w:rPr>
              <w:t xml:space="preserve">New York, NY</w:t>
            </w:r>
            <w:r>
              <w:rPr>
                <w:rFonts w:ascii="Calibri" w:cs="Calibri" w:eastAsia="Calibri" w:hAnsi="Calibri"/>
                <w:color w:val="A99F86"/>
                <w:sz w:val="17"/>
                <w:szCs w:val="17"/>
              </w:rPr>
              <w:br/>
              <w:t xml:space="preserve">(212) 555-0164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xnfja0qckt70io50vjfyd">
              <w:r>
                <w:rPr>
                  <w:rFonts w:ascii="Calibri" w:cs="Calibri" w:eastAsia="Calibri" w:hAnsi="Calibri"/>
                  <w:color w:val="ECE6D6"/>
                  <w:sz w:val="17"/>
                  <w:szCs w:val="17"/>
                  <w:u w:val="single"/>
                </w:rPr>
                <w:t xml:space="preserve">j.pierce@email.com</w:t>
              </w:r>
            </w:hyperlink>
            <w:r>
              <w:rPr>
                <w:rFonts w:ascii="Calibri" w:cs="Calibri" w:eastAsia="Calibri" w:hAnsi="Calibri"/>
                <w:color w:val="A99F86"/>
                <w:sz w:val="17"/>
                <w:szCs w:val="17"/>
              </w:rPr>
              <w:br/>
              <w:t xml:space="preserve">in/jonathanpierce</w:t>
            </w:r>
          </w:p>
          <w:p>
            <w:pPr>
              <w:pBdr>
                <w:top w:val="single" w:color="3A352A" w:sz="4"/>
                <w:left w:val="single" w:color="3A352A" w:sz="4"/>
                <w:right w:val="single" w:color="3A352A" w:sz="4"/>
              </w:pBdr>
              <w:shd w:fill="23211A" w:color="auto" w:val="clear"/>
              <w:spacing w:after="0"/>
              <w:ind w:left="160" w:right="160"/>
            </w:pPr>
            <w:r>
              <w:rPr>
                <w:sz w:val="8"/>
                <w:szCs w:val="8"/>
              </w:rPr>
              <w:t xml:space="preserve"/>
            </w:r>
            <w:r>
              <w:rPr>
                <w:rFonts w:ascii="Calibri" w:cs="Calibri" w:eastAsia="Calibri" w:hAnsi="Calibri"/>
                <w:b/>
                <w:bCs/>
                <w:color w:val="C79A3F"/>
                <w:spacing w:val="16"/>
                <w:sz w:val="14"/>
                <w:szCs w:val="14"/>
              </w:rPr>
              <w:br/>
              <w:t xml:space="preserve">CREDENTIAL</w:t>
            </w:r>
            <w:r>
              <w:rPr>
                <w:sz w:val="4"/>
                <w:szCs w:val="4"/>
              </w:rPr>
              <w:br/>
              <w:t xml:space="preserve"/>
            </w:r>
          </w:p>
          <w:p>
            <w:pPr>
              <w:pBdr>
                <w:left w:val="single" w:color="3A352A" w:sz="4"/>
                <w:right w:val="single" w:color="3A352A" w:sz="4"/>
              </w:pBdr>
              <w:shd w:fill="23211A" w:color="auto" w:val="clear"/>
              <w:spacing w:after="0"/>
              <w:ind w:left="160" w:right="1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CFA Charterholder</w:t>
            </w:r>
          </w:p>
          <w:p>
            <w:pPr>
              <w:pBdr>
                <w:bottom w:val="single" w:color="3A352A" w:sz="4"/>
                <w:left w:val="single" w:color="3A352A" w:sz="4"/>
                <w:right w:val="single" w:color="3A352A" w:sz="4"/>
              </w:pBdr>
              <w:shd w:fill="23211A" w:color="auto" w:val="clear"/>
              <w:spacing w:after="0"/>
              <w:ind w:left="160" w:right="160"/>
            </w:pPr>
            <w:r>
              <w:rPr>
                <w:rFonts w:ascii="Calibri" w:cs="Calibri" w:eastAsia="Calibri" w:hAnsi="Calibri"/>
                <w:color w:val="A99F86"/>
                <w:sz w:val="17"/>
                <w:szCs w:val="17"/>
              </w:rPr>
              <w:t xml:space="preserve">Series 7 &amp; 63 · MBA candidate</w:t>
            </w:r>
            <w:r>
              <w:rPr>
                <w:sz w:val="8"/>
                <w:szCs w:val="8"/>
              </w:rPr>
              <w:br/>
              <w:t xml:space="preserve"/>
            </w:r>
          </w:p>
          <w:p>
            <w:pPr>
              <w:spacing w:after="100" w:before="210"/>
            </w:pPr>
            <w:r>
              <w:rPr>
                <w:rFonts w:ascii="Calibri" w:cs="Calibri" w:eastAsia="Calibri" w:hAnsi="Calibri"/>
                <w:b/>
                <w:bCs/>
                <w:color w:val="C79A3F"/>
                <w:spacing w:val="16"/>
                <w:sz w:val="15"/>
                <w:szCs w:val="15"/>
              </w:rPr>
              <w:t xml:space="preserve">COVERAGE &amp; CALLS</w:t>
            </w:r>
          </w:p>
          <w:tbl>
            <w:tblPr>
              <w:tblW w:type="dxa" w:w="325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400"/>
              <w:gridCol w:w="980"/>
              <w:gridCol w:w="870"/>
            </w:tblGrid>
            <w:tr>
              <w:tc>
                <w:tcPr>
                  <w:tcW w:type="dxa" w:w="1400"/>
                  <w:tcBorders>
                    <w:top w:val="none" w:color="FFFFFF" w:sz="0"/>
                    <w:left w:val="none" w:color="FFFFFF" w:sz="0"/>
                    <w:bottom w:val="single" w:color="2E2A20" w:sz="3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90"/>
                    <w:right w:type="dxa" w:w="0"/>
                  </w:tcMar>
                  <w:vAlign w:val="center"/>
                </w:tcPr>
                <w:p>
                  <w:r>
                    <w:rPr>
                      <w:rFonts w:ascii="Consolas" w:cs="Consolas" w:eastAsia="Consolas" w:hAnsi="Consolas"/>
                      <w:color w:val="ECE6D6"/>
                      <w:sz w:val="17"/>
                      <w:szCs w:val="17"/>
                    </w:rPr>
                    <w:t xml:space="preserve">CLOUD</w:t>
                  </w:r>
                </w:p>
              </w:tc>
              <w:tc>
                <w:tcPr>
                  <w:tcW w:type="dxa" w:w="980"/>
                  <w:tcBorders>
                    <w:top w:val="none" w:color="FFFFFF" w:sz="0"/>
                    <w:left w:val="none" w:color="FFFFFF" w:sz="0"/>
                    <w:bottom w:val="single" w:color="2E2A20" w:sz="3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9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2"/>
                      <w:szCs w:val="12"/>
                      <w:shd w:fill="15803D" w:color="auto" w:val="clear"/>
                    </w:rPr>
                    <w:t xml:space="preserve"> BUY </w:t>
                  </w:r>
                </w:p>
              </w:tc>
              <w:tc>
                <w:tcPr>
                  <w:tcW w:type="dxa" w:w="870"/>
                  <w:tcBorders>
                    <w:top w:val="none" w:color="FFFFFF" w:sz="0"/>
                    <w:left w:val="none" w:color="FFFFFF" w:sz="0"/>
                    <w:bottom w:val="single" w:color="2E2A20" w:sz="3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90"/>
                    <w:right w:type="dxa" w:w="0"/>
                  </w:tcMar>
                  <w:vAlign w:val="center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color w:val="A99F86"/>
                      <w:sz w:val="17"/>
                      <w:szCs w:val="17"/>
                    </w:rPr>
                    <w:t xml:space="preserve">$182</w:t>
                  </w:r>
                </w:p>
              </w:tc>
            </w:tr>
            <w:tr>
              <w:tc>
                <w:tcPr>
                  <w:tcW w:type="dxa" w:w="1400"/>
                  <w:tcBorders>
                    <w:top w:val="none" w:color="FFFFFF" w:sz="0"/>
                    <w:left w:val="none" w:color="FFFFFF" w:sz="0"/>
                    <w:bottom w:val="single" w:color="2E2A20" w:sz="3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90"/>
                    <w:right w:type="dxa" w:w="0"/>
                  </w:tcMar>
                  <w:vAlign w:val="center"/>
                </w:tcPr>
                <w:p>
                  <w:r>
                    <w:rPr>
                      <w:rFonts w:ascii="Consolas" w:cs="Consolas" w:eastAsia="Consolas" w:hAnsi="Consolas"/>
                      <w:color w:val="ECE6D6"/>
                      <w:sz w:val="17"/>
                      <w:szCs w:val="17"/>
                    </w:rPr>
                    <w:t xml:space="preserve">NETW</w:t>
                  </w:r>
                </w:p>
              </w:tc>
              <w:tc>
                <w:tcPr>
                  <w:tcW w:type="dxa" w:w="980"/>
                  <w:tcBorders>
                    <w:top w:val="none" w:color="FFFFFF" w:sz="0"/>
                    <w:left w:val="none" w:color="FFFFFF" w:sz="0"/>
                    <w:bottom w:val="single" w:color="2E2A20" w:sz="3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9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2"/>
                      <w:szCs w:val="12"/>
                      <w:shd w:fill="15803D" w:color="auto" w:val="clear"/>
                    </w:rPr>
                    <w:t xml:space="preserve"> BUY </w:t>
                  </w:r>
                </w:p>
              </w:tc>
              <w:tc>
                <w:tcPr>
                  <w:tcW w:type="dxa" w:w="870"/>
                  <w:tcBorders>
                    <w:top w:val="none" w:color="FFFFFF" w:sz="0"/>
                    <w:left w:val="none" w:color="FFFFFF" w:sz="0"/>
                    <w:bottom w:val="single" w:color="2E2A20" w:sz="3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90"/>
                    <w:right w:type="dxa" w:w="0"/>
                  </w:tcMar>
                  <w:vAlign w:val="center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color w:val="A99F86"/>
                      <w:sz w:val="17"/>
                      <w:szCs w:val="17"/>
                    </w:rPr>
                    <w:t xml:space="preserve">$94</w:t>
                  </w:r>
                </w:p>
              </w:tc>
            </w:tr>
            <w:tr>
              <w:tc>
                <w:tcPr>
                  <w:tcW w:type="dxa" w:w="1400"/>
                  <w:tcBorders>
                    <w:top w:val="none" w:color="FFFFFF" w:sz="0"/>
                    <w:left w:val="none" w:color="FFFFFF" w:sz="0"/>
                    <w:bottom w:val="single" w:color="2E2A20" w:sz="3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90"/>
                    <w:right w:type="dxa" w:w="0"/>
                  </w:tcMar>
                  <w:vAlign w:val="center"/>
                </w:tcPr>
                <w:p>
                  <w:r>
                    <w:rPr>
                      <w:rFonts w:ascii="Consolas" w:cs="Consolas" w:eastAsia="Consolas" w:hAnsi="Consolas"/>
                      <w:color w:val="ECE6D6"/>
                      <w:sz w:val="17"/>
                      <w:szCs w:val="17"/>
                    </w:rPr>
                    <w:t xml:space="preserve">MDIA</w:t>
                  </w:r>
                </w:p>
              </w:tc>
              <w:tc>
                <w:tcPr>
                  <w:tcW w:type="dxa" w:w="980"/>
                  <w:tcBorders>
                    <w:top w:val="none" w:color="FFFFFF" w:sz="0"/>
                    <w:left w:val="none" w:color="FFFFFF" w:sz="0"/>
                    <w:bottom w:val="single" w:color="2E2A20" w:sz="3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9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2"/>
                      <w:szCs w:val="12"/>
                      <w:shd w:fill="9A7B22" w:color="auto" w:val="clear"/>
                    </w:rPr>
                    <w:t xml:space="preserve"> HOLD </w:t>
                  </w:r>
                </w:p>
              </w:tc>
              <w:tc>
                <w:tcPr>
                  <w:tcW w:type="dxa" w:w="870"/>
                  <w:tcBorders>
                    <w:top w:val="none" w:color="FFFFFF" w:sz="0"/>
                    <w:left w:val="none" w:color="FFFFFF" w:sz="0"/>
                    <w:bottom w:val="single" w:color="2E2A20" w:sz="3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90"/>
                    <w:right w:type="dxa" w:w="0"/>
                  </w:tcMar>
                  <w:vAlign w:val="center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color w:val="A99F86"/>
                      <w:sz w:val="17"/>
                      <w:szCs w:val="17"/>
                    </w:rPr>
                    <w:t xml:space="preserve">$57</w:t>
                  </w:r>
                </w:p>
              </w:tc>
            </w:tr>
            <w:tr>
              <w:tc>
                <w:tcPr>
                  <w:tcW w:type="dxa" w:w="1400"/>
                  <w:tcBorders>
                    <w:top w:val="none" w:color="FFFFFF" w:sz="0"/>
                    <w:left w:val="none" w:color="FFFFFF" w:sz="0"/>
                    <w:bottom w:val="single" w:color="2E2A20" w:sz="3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90"/>
                    <w:right w:type="dxa" w:w="0"/>
                  </w:tcMar>
                  <w:vAlign w:val="center"/>
                </w:tcPr>
                <w:p>
                  <w:r>
                    <w:rPr>
                      <w:rFonts w:ascii="Consolas" w:cs="Consolas" w:eastAsia="Consolas" w:hAnsi="Consolas"/>
                      <w:color w:val="ECE6D6"/>
                      <w:sz w:val="17"/>
                      <w:szCs w:val="17"/>
                    </w:rPr>
                    <w:t xml:space="preserve">TELC</w:t>
                  </w:r>
                </w:p>
              </w:tc>
              <w:tc>
                <w:tcPr>
                  <w:tcW w:type="dxa" w:w="980"/>
                  <w:tcBorders>
                    <w:top w:val="none" w:color="FFFFFF" w:sz="0"/>
                    <w:left w:val="none" w:color="FFFFFF" w:sz="0"/>
                    <w:bottom w:val="single" w:color="2E2A20" w:sz="3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9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2"/>
                      <w:szCs w:val="12"/>
                      <w:shd w:fill="9A7B22" w:color="auto" w:val="clear"/>
                    </w:rPr>
                    <w:t xml:space="preserve"> HOLD </w:t>
                  </w:r>
                </w:p>
              </w:tc>
              <w:tc>
                <w:tcPr>
                  <w:tcW w:type="dxa" w:w="870"/>
                  <w:tcBorders>
                    <w:top w:val="none" w:color="FFFFFF" w:sz="0"/>
                    <w:left w:val="none" w:color="FFFFFF" w:sz="0"/>
                    <w:bottom w:val="single" w:color="2E2A20" w:sz="3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90"/>
                    <w:right w:type="dxa" w:w="0"/>
                  </w:tcMar>
                  <w:vAlign w:val="center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color w:val="A99F86"/>
                      <w:sz w:val="17"/>
                      <w:szCs w:val="17"/>
                    </w:rPr>
                    <w:t xml:space="preserve">$31</w:t>
                  </w:r>
                </w:p>
              </w:tc>
            </w:tr>
            <w:tr>
              <w:tc>
                <w:tcPr>
                  <w:tcW w:type="dxa" w:w="1400"/>
                  <w:tcBorders>
                    <w:top w:val="none" w:color="FFFFFF" w:sz="0"/>
                    <w:left w:val="none" w:color="FFFFFF" w:sz="0"/>
                    <w:bottom w:val="none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90"/>
                    <w:right w:type="dxa" w:w="0"/>
                  </w:tcMar>
                  <w:vAlign w:val="center"/>
                </w:tcPr>
                <w:p>
                  <w:r>
                    <w:rPr>
                      <w:rFonts w:ascii="Consolas" w:cs="Consolas" w:eastAsia="Consolas" w:hAnsi="Consolas"/>
                      <w:color w:val="ECE6D6"/>
                      <w:sz w:val="17"/>
                      <w:szCs w:val="17"/>
                    </w:rPr>
                    <w:t xml:space="preserve">SATX</w:t>
                  </w:r>
                </w:p>
              </w:tc>
              <w:tc>
                <w:tcPr>
                  <w:tcW w:type="dxa" w:w="980"/>
                  <w:tcBorders>
                    <w:top w:val="none" w:color="FFFFFF" w:sz="0"/>
                    <w:left w:val="none" w:color="FFFFFF" w:sz="0"/>
                    <w:bottom w:val="none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9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2"/>
                      <w:szCs w:val="12"/>
                      <w:shd w:fill="B3392F" w:color="auto" w:val="clear"/>
                    </w:rPr>
                    <w:t xml:space="preserve"> SELL </w:t>
                  </w:r>
                </w:p>
              </w:tc>
              <w:tc>
                <w:tcPr>
                  <w:tcW w:type="dxa" w:w="870"/>
                  <w:tcBorders>
                    <w:top w:val="none" w:color="FFFFFF" w:sz="0"/>
                    <w:left w:val="none" w:color="FFFFFF" w:sz="0"/>
                    <w:bottom w:val="none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90"/>
                    <w:right w:type="dxa" w:w="0"/>
                  </w:tcMar>
                  <w:vAlign w:val="center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color w:val="A99F86"/>
                      <w:sz w:val="17"/>
                      <w:szCs w:val="17"/>
                    </w:rPr>
                    <w:t xml:space="preserve">$20</w:t>
                  </w:r>
                </w:p>
              </w:tc>
            </w:tr>
          </w:tbl>
          <w:p>
            <w:pPr>
              <w:spacing w:after="100" w:before="210"/>
            </w:pPr>
            <w:r>
              <w:rPr>
                <w:rFonts w:ascii="Calibri" w:cs="Calibri" w:eastAsia="Calibri" w:hAnsi="Calibri"/>
                <w:b/>
                <w:bCs/>
                <w:color w:val="C79A3F"/>
                <w:spacing w:val="16"/>
                <w:sz w:val="15"/>
                <w:szCs w:val="15"/>
              </w:rPr>
              <w:t xml:space="preserve">PERFORMANCE</w:t>
            </w:r>
          </w:p>
          <w:p>
            <w:pPr>
              <w:spacing w:after="60"/>
            </w:pPr>
          </w:p>
          <w:p>
            <w:pPr>
              <w:spacing w:after="24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30"/>
                <w:szCs w:val="30"/>
              </w:rPr>
              <w:t xml:space="preserve">+9%</w:t>
            </w:r>
          </w:p>
          <w:p>
            <w:pPr>
              <w:spacing w:after="140"/>
            </w:pPr>
            <w:r>
              <w:rPr>
                <w:rFonts w:ascii="Calibri" w:cs="Calibri" w:eastAsia="Calibri" w:hAnsi="Calibri"/>
                <w:color w:val="A99F86"/>
                <w:spacing w:val="3"/>
                <w:sz w:val="12"/>
                <w:szCs w:val="12"/>
              </w:rPr>
              <w:t xml:space="preserve">CALLS VS. BENCHMARK</w:t>
            </w:r>
          </w:p>
          <w:p>
            <w:pPr>
              <w:spacing w:after="24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30"/>
                <w:szCs w:val="30"/>
              </w:rPr>
              <w:t xml:space="preserve">14</w:t>
            </w:r>
          </w:p>
          <w:p>
            <w:pPr>
              <w:spacing w:after="140"/>
            </w:pPr>
            <w:r>
              <w:rPr>
                <w:rFonts w:ascii="Calibri" w:cs="Calibri" w:eastAsia="Calibri" w:hAnsi="Calibri"/>
                <w:color w:val="A99F86"/>
                <w:spacing w:val="3"/>
                <w:sz w:val="12"/>
                <w:szCs w:val="12"/>
              </w:rPr>
              <w:t xml:space="preserve">NAMES COVERED</w:t>
            </w:r>
          </w:p>
          <w:p>
            <w:pPr>
              <w:spacing w:after="24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30"/>
                <w:szCs w:val="30"/>
              </w:rPr>
              <w:t xml:space="preserve">Top 3</w:t>
            </w:r>
          </w:p>
          <w:p>
            <w:pPr>
              <w:spacing w:after="140"/>
            </w:pPr>
            <w:r>
              <w:rPr>
                <w:rFonts w:ascii="Calibri" w:cs="Calibri" w:eastAsia="Calibri" w:hAnsi="Calibri"/>
                <w:color w:val="A99F86"/>
                <w:spacing w:val="3"/>
                <w:sz w:val="12"/>
                <w:szCs w:val="12"/>
              </w:rPr>
              <w:t xml:space="preserve">BUY-SIDE BROKER VOTE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E3A3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xnfja0qckt70io50vjfyd" Type="http://schemas.openxmlformats.org/officeDocument/2006/relationships/hyperlink" Target="mailto:j.pierce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2026-06-19T15:37:30.781Z</dcterms:created>
  <dcterms:modified xsi:type="dcterms:W3CDTF">2026-06-19T15:37:30.781Z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