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588"/>
        <w:gridCol w:w="4652"/>
      </w:tblGrid>
      <w:tr>
        <w:tc>
          <w:tcPr>
            <w:tcW w:type="dxa" w:w="75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color="auto" w:val="clear"/>
            <w:tcMar>
              <w:top w:type="dxa" w:w="460"/>
              <w:left w:type="dxa" w:w="750"/>
              <w:bottom w:type="dxa" w:w="38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53"/>
                <w:szCs w:val="53"/>
              </w:rPr>
              <w:t xml:space="preserve">Grace Liu, CFA</w:t>
            </w:r>
          </w:p>
          <w:p>
            <w:r>
              <w:rPr>
                <w:rFonts w:ascii="Calibri" w:cs="Calibri" w:eastAsia="Calibri" w:hAnsi="Calibri"/>
                <w:b/>
                <w:bCs/>
                <w:color w:val="A9C4E0"/>
                <w:spacing w:val="22"/>
                <w:sz w:val="18"/>
                <w:szCs w:val="18"/>
              </w:rPr>
              <w:t xml:space="preserve">VALUATION &amp; FINANCIAL ANALYST</w:t>
            </w:r>
          </w:p>
        </w:tc>
        <w:tc>
          <w:tcPr>
            <w:tcW w:type="dxa" w:w="4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color="auto" w:val="clear"/>
            <w:tcMar>
              <w:top w:type="dxa" w:w="460"/>
              <w:left w:type="dxa" w:w="0"/>
              <w:bottom w:type="dxa" w:w="400"/>
              <w:right w:type="dxa" w:w="75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C7D6EA"/>
                <w:sz w:val="17"/>
                <w:szCs w:val="17"/>
              </w:rPr>
              <w:t xml:space="preserve">San Francisco, CA</w:t>
            </w:r>
            <w:r>
              <w:rPr>
                <w:rFonts w:ascii="Calibri" w:cs="Calibri" w:eastAsia="Calibri" w:hAnsi="Calibri"/>
                <w:color w:val="C7D6EA"/>
                <w:sz w:val="17"/>
                <w:szCs w:val="17"/>
              </w:rPr>
              <w:br/>
              <w:t xml:space="preserve">(415) 555-0193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sosvqessrlgf_5xyiliyz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g.liu@email.com</w:t>
              </w:r>
            </w:hyperlink>
            <w:r>
              <w:rPr>
                <w:rFonts w:ascii="Calibri" w:cs="Calibri" w:eastAsia="Calibri" w:hAnsi="Calibri"/>
                <w:color w:val="C7D6EA"/>
                <w:sz w:val="17"/>
                <w:szCs w:val="17"/>
              </w:rPr>
              <w:br/>
              <w:t xml:space="preserve">in/graceliu</w:t>
            </w:r>
          </w:p>
        </w:tc>
      </w:tr>
    </w:tbl>
    <w:p>
      <w:pPr>
        <w:spacing w:after="200" w:before="320"/>
        <w:ind w:left="750" w:right="750"/>
      </w:pPr>
      <w:r>
        <w:rPr>
          <w:rFonts w:ascii="Calibri" w:cs="Calibri" w:eastAsia="Calibri" w:hAnsi="Calibri"/>
          <w:color w:val="3A4046"/>
          <w:sz w:val="20"/>
          <w:szCs w:val="20"/>
        </w:rPr>
        <w:t xml:space="preserve">Valuation analyst who lives in the model. Five years building DCF, LBO, and comparable-company analyses for valuation engagements, purchase accounting, and fairness opinions. Meticulous with assumptions, ruthless about error-checking, and fast under deadline.</w:t>
      </w:r>
    </w:p>
    <w:p>
      <w:pPr>
        <w:spacing w:after="120" w:before="0"/>
        <w:ind w:left="750" w:right="750"/>
      </w:pPr>
      <w:r>
        <w:rPr>
          <w:rFonts w:ascii="Calibri" w:cs="Calibri" w:eastAsia="Calibri" w:hAnsi="Calibri"/>
          <w:b/>
          <w:bCs/>
          <w:color w:val="1B3A6B"/>
          <w:spacing w:val="24"/>
          <w:sz w:val="17"/>
          <w:szCs w:val="17"/>
        </w:rPr>
        <w:t xml:space="preserve">DCF SNAPSHOT — REPRESENTATIVE ENGAGEMENT</w:t>
      </w:r>
    </w:p>
    <w:tbl>
      <w:tblPr>
        <w:tblW w:type="dxa" w:w="10740"/>
        <w:tblInd w:type="dxa" w:w="750"/>
        <w:tblBorders>
          <w:top w:val="single" w:color="DCE2EA" w:sz="4"/>
          <w:left w:val="single" w:color="DCE2EA" w:sz="4"/>
          <w:bottom w:val="single" w:color="DCE2EA" w:sz="4"/>
          <w:right w:val="single" w:color="DCE2EA" w:sz="4"/>
          <w:insideH w:val="none"/>
          <w:insideV w:val="none"/>
        </w:tblBorders>
        <w:tblLayout w:type="fixed"/>
      </w:tblPr>
      <w:tblGrid>
        <w:gridCol w:w="3436"/>
        <w:gridCol w:w="2148"/>
        <w:gridCol w:w="3007"/>
        <w:gridCol w:w="2149"/>
      </w:tblGrid>
      <w:tr>
        <w:tc>
          <w:tcPr>
            <w:tcW w:type="dxa" w:w="34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243D" w:color="auto" w:val="clear"/>
            <w:tcMar>
              <w:top w:type="dxa" w:w="80"/>
              <w:left w:type="dxa" w:w="1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ASSUMPTION</w:t>
            </w:r>
          </w:p>
        </w:tc>
        <w:tc>
          <w:tcPr>
            <w:tcW w:type="dxa" w:w="214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243D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VALUE</w:t>
            </w:r>
          </w:p>
        </w:tc>
        <w:tc>
          <w:tcPr>
            <w:tcW w:type="dxa" w:w="30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243D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OUTPUT</w:t>
            </w:r>
          </w:p>
        </w:tc>
        <w:tc>
          <w:tcPr>
            <w:tcW w:type="dxa" w:w="21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243D" w:color="auto" w:val="clear"/>
            <w:tcMar>
              <w:top w:type="dxa" w:w="80"/>
              <w:left w:type="dxa" w:w="6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RESULT</w:t>
            </w:r>
          </w:p>
        </w:tc>
      </w:tr>
      <w:tr>
        <w:tc>
          <w:tcPr>
            <w:tcW w:type="dxa" w:w="34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WACC</w:t>
            </w:r>
          </w:p>
        </w:tc>
        <w:tc>
          <w:tcPr>
            <w:tcW w:type="dxa" w:w="214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9.2%</w:t>
            </w:r>
          </w:p>
        </w:tc>
        <w:tc>
          <w:tcPr>
            <w:tcW w:type="dxa" w:w="30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Enterprise Value</w:t>
            </w:r>
          </w:p>
        </w:tc>
        <w:tc>
          <w:tcPr>
            <w:tcW w:type="dxa" w:w="21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2A3346"/>
                <w:sz w:val="17"/>
                <w:szCs w:val="17"/>
              </w:rPr>
              <w:t xml:space="preserve">$1.84B</w:t>
            </w:r>
          </w:p>
        </w:tc>
      </w:tr>
      <w:tr>
        <w:tc>
          <w:tcPr>
            <w:tcW w:type="dxa" w:w="34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AF8" w:color="auto" w:val="clear"/>
            <w:tcMar>
              <w:top w:type="dxa" w:w="90"/>
              <w:left w:type="dxa" w:w="1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Terminal Growth</w:t>
            </w:r>
          </w:p>
        </w:tc>
        <w:tc>
          <w:tcPr>
            <w:tcW w:type="dxa" w:w="214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AF8" w:color="auto" w:val="clear"/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2.5%</w:t>
            </w:r>
          </w:p>
        </w:tc>
        <w:tc>
          <w:tcPr>
            <w:tcW w:type="dxa" w:w="30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AF8" w:color="auto" w:val="clear"/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Equity Value</w:t>
            </w:r>
          </w:p>
        </w:tc>
        <w:tc>
          <w:tcPr>
            <w:tcW w:type="dxa" w:w="21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AF8" w:color="auto" w:val="clear"/>
            <w:tcMar>
              <w:top w:type="dxa" w:w="90"/>
              <w:left w:type="dxa" w:w="60"/>
              <w:bottom w:type="dxa" w:w="9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2A3346"/>
                <w:sz w:val="17"/>
                <w:szCs w:val="17"/>
              </w:rPr>
              <w:t xml:space="preserve">$1.61B</w:t>
            </w:r>
          </w:p>
        </w:tc>
      </w:tr>
      <w:tr>
        <w:tc>
          <w:tcPr>
            <w:tcW w:type="dxa" w:w="34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5-Yr Rev. CAGR</w:t>
            </w:r>
          </w:p>
        </w:tc>
        <w:tc>
          <w:tcPr>
            <w:tcW w:type="dxa" w:w="214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11.0%</w:t>
            </w:r>
          </w:p>
        </w:tc>
        <w:tc>
          <w:tcPr>
            <w:tcW w:type="dxa" w:w="30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Implied / Share</w:t>
            </w:r>
          </w:p>
        </w:tc>
        <w:tc>
          <w:tcPr>
            <w:tcW w:type="dxa" w:w="21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2A3346"/>
                <w:sz w:val="17"/>
                <w:szCs w:val="17"/>
              </w:rPr>
              <w:t xml:space="preserve">$74.20</w:t>
            </w:r>
          </w:p>
        </w:tc>
      </w:tr>
    </w:tbl>
    <w:p>
      <w:pPr>
        <w:spacing w:after="140" w:before="280"/>
        <w:ind w:left="750" w:right="750"/>
      </w:pPr>
      <w:r>
        <w:rPr>
          <w:rFonts w:ascii="Calibri" w:cs="Calibri" w:eastAsia="Calibri" w:hAnsi="Calibri"/>
          <w:b/>
          <w:bCs/>
          <w:color w:val="1B3A6B"/>
          <w:spacing w:val="24"/>
          <w:sz w:val="17"/>
          <w:szCs w:val="17"/>
        </w:rPr>
        <w:t xml:space="preserve">EXPERIENCE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21C"/>
                <w:sz w:val="20"/>
                <w:szCs w:val="20"/>
              </w:rPr>
              <w:t xml:space="preserve">Valuation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9C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1B3A6B"/>
          <w:sz w:val="18"/>
          <w:szCs w:val="18"/>
        </w:rPr>
        <w:t xml:space="preserve">Duff &amp; Phelps (Kroll) — San Francisco, CA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046"/>
          <w:sz w:val="19"/>
          <w:szCs w:val="19"/>
        </w:rPr>
        <w:t xml:space="preserve">Build DCF, LBO, and comps models for 40+ valuation engagements a year across tech and healthcare.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046"/>
          <w:sz w:val="19"/>
          <w:szCs w:val="19"/>
        </w:rPr>
        <w:t xml:space="preserve">Lead purchase-price-allocation and 409A valuations; zero audit adjustments in three years.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046"/>
          <w:sz w:val="19"/>
          <w:szCs w:val="19"/>
        </w:rPr>
        <w:t xml:space="preserve">Built a reusable DCF template adopted firm-wide, cutting model build time 30%.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21C"/>
                <w:sz w:val="20"/>
                <w:szCs w:val="20"/>
              </w:rPr>
              <w:t xml:space="preserve">Financial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9C"/>
                <w:sz w:val="17"/>
                <w:szCs w:val="17"/>
              </w:rPr>
              <w:t xml:space="preserve">2019 – 2021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1B3A6B"/>
          <w:sz w:val="18"/>
          <w:szCs w:val="18"/>
        </w:rPr>
        <w:t xml:space="preserve">Charles Schwab — San Francisco, CA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046"/>
          <w:sz w:val="19"/>
          <w:szCs w:val="19"/>
        </w:rPr>
        <w:t xml:space="preserve">Built valuation and scenario models supporting investment and treasury decisions.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046"/>
          <w:sz w:val="19"/>
          <w:szCs w:val="19"/>
        </w:rPr>
        <w:t xml:space="preserve">Automated comparable-company updates in Excel/VBA, saving 10 hours a week.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21C"/>
                <w:sz w:val="20"/>
                <w:szCs w:val="20"/>
              </w:rPr>
              <w:t xml:space="preserve">Finance Intern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9C"/>
                <w:sz w:val="17"/>
                <w:szCs w:val="17"/>
              </w:rPr>
              <w:t xml:space="preserve">2018 – 2019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1B3A6B"/>
          <w:sz w:val="18"/>
          <w:szCs w:val="18"/>
        </w:rPr>
        <w:t xml:space="preserve">Wells Fargo — San Francisco, CA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046"/>
          <w:sz w:val="19"/>
          <w:szCs w:val="19"/>
        </w:rPr>
        <w:t xml:space="preserve">Supported the corporate finance team with modeling and market research.</w:t>
      </w:r>
    </w:p>
    <w:p>
      <w:pPr>
        <w:spacing w:after="60"/>
      </w:pPr>
    </w:p>
    <w:tbl>
      <w:tblPr>
        <w:tblW w:type="dxa" w:w="10740"/>
        <w:tblBorders>
          <w:top w:val="single" w:color="E2E8F0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858"/>
        <w:gridCol w:w="4882"/>
      </w:tblGrid>
      <w:tr>
        <w:tc>
          <w:tcPr>
            <w:tcW w:type="dxa" w:w="5858"/>
            <w:tcBorders>
              <w:top w:val="none" w:color="FFFFFF" w:sz="0"/>
              <w:left w:val="none" w:color="FFFFFF" w:sz="0"/>
              <w:bottom w:val="none" w:color="FFFFFF" w:sz="0"/>
              <w:right w:val="single" w:color="E2E8F0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B3A6B"/>
                <w:spacing w:val="16"/>
                <w:sz w:val="17"/>
                <w:szCs w:val="17"/>
              </w:rPr>
              <w:t xml:space="preserve">MODELING &amp; TOOLS</w:t>
            </w:r>
          </w:p>
          <w:p>
            <w:r>
              <w:rPr>
                <w:rFonts w:ascii="Consolas" w:cs="Consolas" w:eastAsia="Consolas" w:hAnsi="Consolas"/>
                <w:color w:val="3A4046"/>
                <w:sz w:val="17"/>
                <w:szCs w:val="17"/>
              </w:rPr>
              <w:t xml:space="preserve">DCF · LBO · Comps · Excel / VBA · Capital IQ · FactSet</w:t>
            </w:r>
          </w:p>
        </w:tc>
        <w:tc>
          <w:tcPr>
            <w:tcW w:type="dxa" w:w="4882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B3A6B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b/>
                <w:bCs/>
                <w:color w:val="16221C"/>
                <w:sz w:val="18"/>
                <w:szCs w:val="18"/>
              </w:rPr>
              <w:t xml:space="preserve">CFA Charterholder · FMVA</w:t>
            </w:r>
          </w:p>
          <w:p>
            <w:r>
              <w:rPr>
                <w:rFonts w:ascii="Calibri" w:cs="Calibri" w:eastAsia="Calibri" w:hAnsi="Calibri"/>
                <w:color w:val="3A4046"/>
                <w:sz w:val="18"/>
                <w:szCs w:val="18"/>
              </w:rPr>
              <w:t xml:space="preserve">B.S., Finance — UC Berkeley (Haas)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04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sosvqessrlgf_5xyiliyz" Type="http://schemas.openxmlformats.org/officeDocument/2006/relationships/hyperlink" Target="mailto:g.liu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2026-06-19T15:37:30.815Z</dcterms:created>
  <dcterms:modified xsi:type="dcterms:W3CDTF">2026-06-19T15:37:30.815Z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