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588"/>
        <w:gridCol w:w="4652"/>
      </w:tblGrid>
      <w:tr>
        <w:tc>
          <w:tcPr>
            <w:tcW w:type="dxa" w:w="75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A48" w:color="auto" w:val="clear"/>
            <w:tcMar>
              <w:top w:type="dxa" w:w="460"/>
              <w:left w:type="dxa" w:w="750"/>
              <w:bottom w:type="dxa" w:w="38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3"/>
                <w:szCs w:val="53"/>
              </w:rPr>
              <w:t xml:space="preserve">Grace Liu, CFA</w:t>
            </w:r>
          </w:p>
          <w:p>
            <w:r>
              <w:rPr>
                <w:rFonts w:ascii="Calibri" w:cs="Calibri" w:eastAsia="Calibri" w:hAnsi="Calibri"/>
                <w:b/>
                <w:bCs/>
                <w:color w:val="C2A6D6"/>
                <w:spacing w:val="22"/>
                <w:sz w:val="18"/>
                <w:szCs w:val="18"/>
              </w:rPr>
              <w:t xml:space="preserve">VALUATION &amp; FINANCIAL ANALYST</w:t>
            </w:r>
          </w:p>
        </w:tc>
        <w:tc>
          <w:tcPr>
            <w:tcW w:type="dxa" w:w="4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A48" w:color="auto" w:val="clear"/>
            <w:tcMar>
              <w:top w:type="dxa" w:w="460"/>
              <w:left w:type="dxa" w:w="0"/>
              <w:bottom w:type="dxa" w:w="400"/>
              <w:right w:type="dxa" w:w="75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D4C6E0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D4C6E0"/>
                <w:sz w:val="17"/>
                <w:szCs w:val="17"/>
              </w:rPr>
              <w:br/>
              <w:t xml:space="preserve">(415) 555-0193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qq0oyj-9o7vwdac5mqwm0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g.liu@email.com</w:t>
              </w:r>
            </w:hyperlink>
            <w:r>
              <w:rPr>
                <w:rFonts w:ascii="Calibri" w:cs="Calibri" w:eastAsia="Calibri" w:hAnsi="Calibri"/>
                <w:color w:val="D4C6E0"/>
                <w:sz w:val="17"/>
                <w:szCs w:val="17"/>
              </w:rPr>
              <w:br/>
              <w:t xml:space="preserve">in/graceliu</w:t>
            </w:r>
          </w:p>
        </w:tc>
      </w:tr>
    </w:tbl>
    <w:p>
      <w:pPr>
        <w:spacing w:after="200" w:before="320"/>
        <w:ind w:left="750" w:right="750"/>
      </w:pPr>
      <w:r>
        <w:rPr>
          <w:rFonts w:ascii="Calibri" w:cs="Calibri" w:eastAsia="Calibri" w:hAnsi="Calibri"/>
          <w:color w:val="3A4046"/>
          <w:sz w:val="20"/>
          <w:szCs w:val="20"/>
        </w:rPr>
        <w:t xml:space="preserve">Valuation analyst who lives in the model. Five years building DCF, LBO, and comparable-company analyses for valuation engagements, purchase accounting, and fairness opinions. Meticulous with assumptions, ruthless about error-checking, and fast under deadline.</w:t>
      </w:r>
    </w:p>
    <w:p>
      <w:pPr>
        <w:spacing w:after="120" w:before="0"/>
        <w:ind w:left="750" w:right="750"/>
      </w:pPr>
      <w:r>
        <w:rPr>
          <w:rFonts w:ascii="Calibri" w:cs="Calibri" w:eastAsia="Calibri" w:hAnsi="Calibri"/>
          <w:b/>
          <w:bCs/>
          <w:color w:val="5E4480"/>
          <w:spacing w:val="24"/>
          <w:sz w:val="17"/>
          <w:szCs w:val="17"/>
        </w:rPr>
        <w:t xml:space="preserve">DCF SNAPSHOT — REPRESENTATIVE ENGAGEMENT</w:t>
      </w:r>
    </w:p>
    <w:tbl>
      <w:tblPr>
        <w:tblW w:type="dxa" w:w="10740"/>
        <w:tblInd w:type="dxa" w:w="750"/>
        <w:tblBorders>
          <w:top w:val="single" w:color="E6DEF0" w:sz="4"/>
          <w:left w:val="single" w:color="E6DEF0" w:sz="4"/>
          <w:bottom w:val="single" w:color="E6DEF0" w:sz="4"/>
          <w:right w:val="single" w:color="E6DEF0" w:sz="4"/>
          <w:insideH w:val="none"/>
          <w:insideV w:val="none"/>
        </w:tblBorders>
        <w:tblLayout w:type="fixed"/>
      </w:tblPr>
      <w:tblGrid>
        <w:gridCol w:w="3436"/>
        <w:gridCol w:w="2148"/>
        <w:gridCol w:w="3007"/>
        <w:gridCol w:w="2149"/>
      </w:tblGrid>
      <w:tr>
        <w:tc>
          <w:tcPr>
            <w:tcW w:type="dxa" w:w="34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1E38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ASSUMPTION</w:t>
            </w:r>
          </w:p>
        </w:tc>
        <w:tc>
          <w:tcPr>
            <w:tcW w:type="dxa" w:w="214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1E38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VALUE</w:t>
            </w:r>
          </w:p>
        </w:tc>
        <w:tc>
          <w:tcPr>
            <w:tcW w:type="dxa" w:w="30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1E38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OUTPUT</w:t>
            </w:r>
          </w:p>
        </w:tc>
        <w:tc>
          <w:tcPr>
            <w:tcW w:type="dxa" w:w="21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1E38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RESULT</w:t>
            </w:r>
          </w:p>
        </w:tc>
      </w:tr>
      <w:tr>
        <w:tc>
          <w:tcPr>
            <w:tcW w:type="dxa" w:w="34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WACC</w:t>
            </w:r>
          </w:p>
        </w:tc>
        <w:tc>
          <w:tcPr>
            <w:tcW w:type="dxa" w:w="214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9.2%</w:t>
            </w:r>
          </w:p>
        </w:tc>
        <w:tc>
          <w:tcPr>
            <w:tcW w:type="dxa" w:w="30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Enterprise Value</w:t>
            </w:r>
          </w:p>
        </w:tc>
        <w:tc>
          <w:tcPr>
            <w:tcW w:type="dxa" w:w="21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2A3346"/>
                <w:sz w:val="17"/>
                <w:szCs w:val="17"/>
              </w:rPr>
              <w:t xml:space="preserve">$1.84B</w:t>
            </w:r>
          </w:p>
        </w:tc>
      </w:tr>
      <w:tr>
        <w:tc>
          <w:tcPr>
            <w:tcW w:type="dxa" w:w="34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8" w:color="auto" w:val="clear"/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Terminal Growth</w:t>
            </w:r>
          </w:p>
        </w:tc>
        <w:tc>
          <w:tcPr>
            <w:tcW w:type="dxa" w:w="214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8" w:color="auto" w:val="clear"/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2.5%</w:t>
            </w:r>
          </w:p>
        </w:tc>
        <w:tc>
          <w:tcPr>
            <w:tcW w:type="dxa" w:w="30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8" w:color="auto" w:val="clear"/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Equity Value</w:t>
            </w:r>
          </w:p>
        </w:tc>
        <w:tc>
          <w:tcPr>
            <w:tcW w:type="dxa" w:w="21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8" w:color="auto" w:val="clear"/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2A3346"/>
                <w:sz w:val="17"/>
                <w:szCs w:val="17"/>
              </w:rPr>
              <w:t xml:space="preserve">$1.61B</w:t>
            </w:r>
          </w:p>
        </w:tc>
      </w:tr>
      <w:tr>
        <w:tc>
          <w:tcPr>
            <w:tcW w:type="dxa" w:w="34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5-Yr Rev. CAGR</w:t>
            </w:r>
          </w:p>
        </w:tc>
        <w:tc>
          <w:tcPr>
            <w:tcW w:type="dxa" w:w="214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11.0%</w:t>
            </w:r>
          </w:p>
        </w:tc>
        <w:tc>
          <w:tcPr>
            <w:tcW w:type="dxa" w:w="30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Implied / Share</w:t>
            </w:r>
          </w:p>
        </w:tc>
        <w:tc>
          <w:tcPr>
            <w:tcW w:type="dxa" w:w="21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2A3346"/>
                <w:sz w:val="17"/>
                <w:szCs w:val="17"/>
              </w:rPr>
              <w:t xml:space="preserve">$74.20</w:t>
            </w:r>
          </w:p>
        </w:tc>
      </w:tr>
    </w:tbl>
    <w:p>
      <w:pPr>
        <w:spacing w:after="140" w:before="280"/>
        <w:ind w:left="750" w:right="750"/>
      </w:pPr>
      <w:r>
        <w:rPr>
          <w:rFonts w:ascii="Calibri" w:cs="Calibri" w:eastAsia="Calibri" w:hAnsi="Calibri"/>
          <w:b/>
          <w:bCs/>
          <w:color w:val="5E4480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21C"/>
                <w:sz w:val="20"/>
                <w:szCs w:val="20"/>
              </w:rPr>
              <w:t xml:space="preserve">Valuation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9C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5E4480"/>
          <w:sz w:val="18"/>
          <w:szCs w:val="18"/>
        </w:rPr>
        <w:t xml:space="preserve">Duff &amp; Phelps (Kroll) — San Francisco,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Build DCF, LBO, and comps models for 40+ valuation engagements a year across tech and healthcare.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Lead purchase-price-allocation and 409A valuations; zero audit adjustments in three years.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Built a reusable DCF template adopted firm-wide, cutting model build time 30%.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21C"/>
                <w:sz w:val="20"/>
                <w:szCs w:val="20"/>
              </w:rPr>
              <w:t xml:space="preserve">Financial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9C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5E4480"/>
          <w:sz w:val="18"/>
          <w:szCs w:val="18"/>
        </w:rPr>
        <w:t xml:space="preserve">Charles Schwab — San Francisco,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Built valuation and scenario models supporting investment and treasury decisions.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Automated comparable-company updates in Excel/VBA, saving 10 hours a week.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21C"/>
                <w:sz w:val="20"/>
                <w:szCs w:val="20"/>
              </w:rPr>
              <w:t xml:space="preserve">Finance Intern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9C"/>
                <w:sz w:val="17"/>
                <w:szCs w:val="17"/>
              </w:rPr>
              <w:t xml:space="preserve">2018 – 2019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5E4480"/>
          <w:sz w:val="18"/>
          <w:szCs w:val="18"/>
        </w:rPr>
        <w:t xml:space="preserve">Wells Fargo — San Francisco,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Supported the corporate finance team with modeling and market research.</w:t>
      </w:r>
    </w:p>
    <w:p>
      <w:pPr>
        <w:spacing w:after="60"/>
      </w:pPr>
    </w:p>
    <w:tbl>
      <w:tblPr>
        <w:tblW w:type="dxa" w:w="10740"/>
        <w:tblBorders>
          <w:top w:val="single" w:color="ECE4F2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58"/>
        <w:gridCol w:w="4882"/>
      </w:tblGrid>
      <w:tr>
        <w:tc>
          <w:tcPr>
            <w:tcW w:type="dxa" w:w="5858"/>
            <w:tcBorders>
              <w:top w:val="none" w:color="FFFFFF" w:sz="0"/>
              <w:left w:val="none" w:color="FFFFFF" w:sz="0"/>
              <w:bottom w:val="none" w:color="FFFFFF" w:sz="0"/>
              <w:right w:val="single" w:color="ECE4F2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5E4480"/>
                <w:spacing w:val="16"/>
                <w:sz w:val="17"/>
                <w:szCs w:val="17"/>
              </w:rPr>
              <w:t xml:space="preserve">MODELING &amp; TOOLS</w:t>
            </w:r>
          </w:p>
          <w:p>
            <w:r>
              <w:rPr>
                <w:rFonts w:ascii="Consolas" w:cs="Consolas" w:eastAsia="Consolas" w:hAnsi="Consolas"/>
                <w:color w:val="3A4046"/>
                <w:sz w:val="17"/>
                <w:szCs w:val="17"/>
              </w:rPr>
              <w:t xml:space="preserve">DCF · LBO · Comps · Excel / VBA · Capital IQ · FactSet</w:t>
            </w:r>
          </w:p>
        </w:tc>
        <w:tc>
          <w:tcPr>
            <w:tcW w:type="dxa" w:w="4882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5E4480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16221C"/>
                <w:sz w:val="18"/>
                <w:szCs w:val="18"/>
              </w:rPr>
              <w:t xml:space="preserve">CFA Charterholder · FMVA</w:t>
            </w:r>
          </w:p>
          <w:p>
            <w:r>
              <w:rPr>
                <w:rFonts w:ascii="Calibri" w:cs="Calibri" w:eastAsia="Calibri" w:hAnsi="Calibri"/>
                <w:color w:val="3A4046"/>
                <w:sz w:val="18"/>
                <w:szCs w:val="18"/>
              </w:rPr>
              <w:t xml:space="preserve">B.S., Finance — UC Berkeley (Haas)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0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qq0oyj-9o7vwdac5mqwm0" Type="http://schemas.openxmlformats.org/officeDocument/2006/relationships/hyperlink" Target="mailto:g.liu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2026-06-19T15:37:30.819Z</dcterms:created>
  <dcterms:modified xsi:type="dcterms:W3CDTF">2026-06-19T15:37:30.819Z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