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48"/>
        <w:gridCol w:w="1748"/>
        <w:gridCol w:w="1748"/>
        <w:gridCol w:w="1748"/>
        <w:gridCol w:w="1748"/>
        <w:gridCol w:w="1748"/>
        <w:gridCol w:w="1752"/>
      </w:tblGrid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3A" w:color="auto" w:val="clear"/>
            <w:tcMar>
              <w:top w:type="dxa" w:w="480"/>
              <w:left w:type="dxa" w:w="750"/>
              <w:bottom w:type="dxa" w:w="300"/>
              <w:right w:type="dxa" w:w="750"/>
            </w:tcMar>
          </w:tcPr>
          <w:tbl>
            <w:tblPr>
              <w:tblW w:type="dxa" w:w="107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73"/>
              <w:gridCol w:w="3867"/>
            </w:tblGrid>
            <w:tr>
              <w:tc>
                <w:tcPr>
                  <w:tcW w:type="dxa" w:w="687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50"/>
                  </w:pPr>
                  <w:r>
                    <w:rPr>
                      <w:rFonts w:ascii="Garamond" w:cs="Garamond" w:eastAsia="Garamond" w:hAnsi="Garamond"/>
                      <w:color w:val="FFFFFF"/>
                      <w:sz w:val="54"/>
                      <w:szCs w:val="54"/>
                    </w:rPr>
                    <w:t xml:space="preserve">Sandra Kim, SPHR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pacing w:val="22"/>
                      <w:sz w:val="18"/>
                      <w:szCs w:val="18"/>
                    </w:rPr>
                    <w:t xml:space="preserve">DIRECTOR OF HUMAN RESOURCES</w:t>
                  </w:r>
                </w:p>
              </w:tc>
              <w:tc>
                <w:tcPr>
                  <w:tcW w:type="dxa" w:w="386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B6BECC"/>
                      <w:sz w:val="17"/>
                      <w:szCs w:val="17"/>
                    </w:rPr>
                    <w:t xml:space="preserve">Chicago, IL</w:t>
                  </w:r>
                  <w:r>
                    <w:rPr>
                      <w:rFonts w:ascii="Calibri" w:cs="Calibri" w:eastAsia="Calibri" w:hAnsi="Calibri"/>
                      <w:color w:val="B6BECC"/>
                      <w:sz w:val="17"/>
                      <w:szCs w:val="17"/>
                    </w:rPr>
                    <w:br/>
                    <w:t xml:space="preserve">(312) 555-0167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yyhmryegrzqpkoo5exyjd">
                    <w:r>
                      <w:rPr>
                        <w:rFonts w:ascii="Calibri" w:cs="Calibri" w:eastAsia="Calibri" w:hAnsi="Calibri"/>
                        <w:color w:val="FFFFFF"/>
                        <w:sz w:val="17"/>
                        <w:szCs w:val="17"/>
                        <w:u w:val="single"/>
                      </w:rPr>
                      <w:t xml:space="preserve">s.kim@email.com</w:t>
                    </w:r>
                  </w:hyperlink>
                  <w:r>
                    <w:rPr>
                      <w:rFonts w:ascii="Calibri" w:cs="Calibri" w:eastAsia="Calibri" w:hAnsi="Calibri"/>
                      <w:color w:val="B6BECC"/>
                      <w:sz w:val="17"/>
                      <w:szCs w:val="17"/>
                    </w:rPr>
                    <w:br/>
                    <w:t xml:space="preserve">in/sandrakim</w:t>
                  </w:r>
                </w:p>
              </w:tc>
            </w:tr>
          </w:tbl>
          <w:p/>
        </w:tc>
      </w:tr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3A" w:color="auto" w:val="clear"/>
            <w:tcMar>
              <w:top w:type="dxa" w:w="200"/>
              <w:left w:type="dxa" w:w="750"/>
              <w:bottom w:type="dxa" w:w="380"/>
              <w:right w:type="dxa" w:w="750"/>
            </w:tcMar>
          </w:tcPr>
          <w:tbl>
            <w:tblPr>
              <w:tblW w:type="dxa" w:w="10740"/>
              <w:tblBorders>
                <w:top w:val="single" w:color="3A4658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85"/>
              <w:gridCol w:w="2685"/>
              <w:gridCol w:w="2685"/>
              <w:gridCol w:w="2685"/>
            </w:tblGrid>
            <w:tr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3A4658" w:sz="4"/>
                  </w:tcBorders>
                  <w:shd w:fill="1E2A3A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z w:val="30"/>
                      <w:szCs w:val="30"/>
                    </w:rPr>
                    <w:t xml:space="preserve">2,400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B6BECC"/>
                      <w:spacing w:val="5"/>
                      <w:sz w:val="12"/>
                      <w:szCs w:val="12"/>
                    </w:rPr>
                    <w:t xml:space="preserve">HEADCOUNT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3A4658" w:sz="4"/>
                  </w:tcBorders>
                  <w:shd w:fill="1E2A3A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z w:val="30"/>
                      <w:szCs w:val="30"/>
                    </w:rPr>
                    <w:t xml:space="preserve">5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B6BECC"/>
                      <w:spacing w:val="5"/>
                      <w:sz w:val="12"/>
                      <w:szCs w:val="12"/>
                    </w:rPr>
                    <w:t xml:space="preserve">COUNTRIES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3A4658" w:sz="4"/>
                  </w:tcBorders>
                  <w:shd w:fill="1E2A3A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z w:val="30"/>
                      <w:szCs w:val="30"/>
                    </w:rPr>
                    <w:t xml:space="preserve">18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B6BECC"/>
                      <w:spacing w:val="5"/>
                      <w:sz w:val="12"/>
                      <w:szCs w:val="12"/>
                    </w:rPr>
                    <w:t xml:space="preserve">HR TEAM LED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shd w:fill="1E2A3A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z w:val="30"/>
                      <w:szCs w:val="30"/>
                    </w:rPr>
                    <w:t xml:space="preserve">−35%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B6BECC"/>
                      <w:spacing w:val="5"/>
                      <w:sz w:val="12"/>
                      <w:szCs w:val="12"/>
                    </w:rPr>
                    <w:t xml:space="preserve">TURNOVER</w:t>
                  </w:r>
                </w:p>
              </w:tc>
            </w:tr>
          </w:tbl>
          <w:p/>
        </w:tc>
      </w:tr>
    </w:tbl>
    <w:p>
      <w:pPr>
        <w:spacing w:after="200" w:before="340"/>
        <w:ind w:left="750" w:right="750"/>
      </w:pPr>
      <w:r>
        <w:rPr>
          <w:rFonts w:ascii="Calibri" w:cs="Calibri" w:eastAsia="Calibri" w:hAnsi="Calibri"/>
          <w:color w:val="403C34"/>
          <w:sz w:val="20"/>
          <w:szCs w:val="20"/>
        </w:rPr>
        <w:t xml:space="preserve">HR director who builds the people function from policy to culture. Eighteen years scaling teams through hypergrowth, M&amp;A, and global expansion. I own talent, total rewards, DEI, and compliance for a 2,400-person workforce — and I turn HR from a cost center into a driver of retention, performance, and employer brand.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8A6D2F"/>
          <w:spacing w:val="24"/>
          <w:sz w:val="17"/>
          <w:szCs w:val="17"/>
        </w:rPr>
        <w:t xml:space="preserve">LEADERSHIP PORTFOLIO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70"/>
        <w:gridCol w:w="200"/>
        <w:gridCol w:w="5270"/>
      </w:tblGrid>
      <w:tr>
        <w:tc>
          <w:tcPr>
            <w:tcW w:type="dxa" w:w="5270"/>
            <w:tcBorders>
              <w:top w:val="none" w:color="FFFFFF" w:sz="0"/>
              <w:left w:val="single" w:color="C6A259" w:sz="18"/>
              <w:bottom w:val="none" w:color="FFFFFF" w:sz="0"/>
              <w:right w:val="none" w:color="FFFFFF" w:sz="0"/>
            </w:tcBorders>
            <w:shd w:fill="FAF6EE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Talent &amp; Culture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Acquisition · L&amp;D · succession · engagement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C6A259" w:sz="18"/>
              <w:bottom w:val="none" w:color="FFFFFF" w:sz="0"/>
              <w:right w:val="none" w:color="FFFFFF" w:sz="0"/>
            </w:tcBorders>
            <w:shd w:fill="FAF6EE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Total Rewards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Compensation · benefits · equity · pay equity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</w:tr>
      <w:tr>
        <w:tc>
          <w:tcPr>
            <w:tcW w:type="dxa" w:w="5270"/>
            <w:tcBorders>
              <w:top w:val="none" w:color="FFFFFF" w:sz="0"/>
              <w:left w:val="single" w:color="C6A259" w:sz="18"/>
              <w:bottom w:val="none" w:color="FFFFFF" w:sz="0"/>
              <w:right w:val="none" w:color="FFFFFF" w:sz="0"/>
            </w:tcBorders>
            <w:shd w:fill="FAF6EE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DEI &amp; Belonging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Strategy · ERGs · inclusive hiring · metrics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C6A259" w:sz="18"/>
              <w:bottom w:val="none" w:color="FFFFFF" w:sz="0"/>
              <w:right w:val="none" w:color="FFFFFF" w:sz="0"/>
            </w:tcBorders>
            <w:shd w:fill="FAF6EE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Compliance &amp; Risk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Multi-state &amp; global · ER · M&amp;A integration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8A6D2F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41F"/>
                <w:sz w:val="20"/>
                <w:szCs w:val="20"/>
              </w:rPr>
              <w:t xml:space="preserve">Director of Human Resources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39B8C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8A6D2F"/>
          <w:sz w:val="18"/>
          <w:szCs w:val="18"/>
        </w:rPr>
        <w:t xml:space="preserve">Grubhub — Chicago, IL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Own the HR function for 2,400 employees across 5 countries, leading an 18-person HR team.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Cut companywide turnover 35% through total-rewards redesign and a manager-enablement program.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Built the DEI strategy and pay-equity audit that lifted representation in leadership by 22%.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41F"/>
                <w:sz w:val="20"/>
                <w:szCs w:val="20"/>
              </w:rPr>
              <w:t xml:space="preserve">Senior HR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39B8C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8A6D2F"/>
          <w:sz w:val="18"/>
          <w:szCs w:val="18"/>
        </w:rPr>
        <w:t xml:space="preserve">United Airlines — Chicago, IL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Led HR for a 900-person division through a major M&amp;A integration with zero attrition spikes.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Implemented Workday across the division, modernizing reporting and self-service.</w:t>
      </w:r>
    </w:p>
    <w:p>
      <w:pPr>
        <w:spacing w:after="60"/>
      </w:pPr>
    </w:p>
    <w:tbl>
      <w:tblPr>
        <w:tblW w:type="dxa" w:w="10740"/>
        <w:tblBorders>
          <w:top w:val="single" w:color="ECE6D9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625"/>
        <w:gridCol w:w="5115"/>
      </w:tblGrid>
      <w:tr>
        <w:tc>
          <w:tcPr>
            <w:tcW w:type="dxa" w:w="5625"/>
            <w:tcBorders>
              <w:top w:val="none" w:color="FFFFFF" w:sz="0"/>
              <w:left w:val="none" w:color="FFFFFF" w:sz="0"/>
              <w:bottom w:val="none" w:color="FFFFFF" w:sz="0"/>
              <w:right w:val="single" w:color="ECE6D9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8A6D2F"/>
                <w:spacing w:val="16"/>
                <w:sz w:val="17"/>
                <w:szCs w:val="17"/>
              </w:rPr>
              <w:t xml:space="preserve">SYSTEMS</w:t>
            </w:r>
          </w:p>
          <w:p>
            <w:r>
              <w:rPr>
                <w:rFonts w:ascii="Calibri" w:cs="Calibri" w:eastAsia="Calibri" w:hAnsi="Calibri"/>
                <w:color w:val="403C34"/>
                <w:sz w:val="18"/>
                <w:szCs w:val="18"/>
              </w:rPr>
              <w:t xml:space="preserve">Workday · UKG · ADP · Visier · Culture Amp</w:t>
            </w:r>
          </w:p>
        </w:tc>
        <w:tc>
          <w:tcPr>
            <w:tcW w:type="dxa" w:w="511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8A6D2F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26241F"/>
                <w:sz w:val="18"/>
                <w:szCs w:val="18"/>
              </w:rPr>
              <w:t xml:space="preserve">SPHR · SHRM-SCP</w:t>
            </w:r>
          </w:p>
          <w:p>
            <w:r>
              <w:rPr>
                <w:rFonts w:ascii="Calibri" w:cs="Calibri" w:eastAsia="Calibri" w:hAnsi="Calibri"/>
                <w:color w:val="403C34"/>
                <w:sz w:val="18"/>
                <w:szCs w:val="18"/>
              </w:rPr>
              <w:t xml:space="preserve">MBA — Kellogg, Northwestern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03C3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yhmryegrzqpkoo5exyjd" Type="http://schemas.openxmlformats.org/officeDocument/2006/relationships/hyperlink" Target="mailto:s.kim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2026-06-18T21:45:50.462Z</dcterms:created>
  <dcterms:modified xsi:type="dcterms:W3CDTF">2026-06-18T21:45:50.462Z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