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50"/>
        <w:gridCol w:w="8190"/>
      </w:tblGrid>
      <w:tr>
        <w:trPr>
          <w:trHeight w:val="14600" w:hRule="atLeast"/>
        </w:trPr>
        <w:tc>
          <w:tcPr>
            <w:tcW w:type="dxa" w:w="4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0382E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Andre Williams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A6C0B4"/>
                <w:spacing w:val="10"/>
                <w:sz w:val="16"/>
                <w:szCs w:val="16"/>
              </w:rPr>
              <w:t xml:space="preserve">HR BUSINESS PARTNER · SHRM-SCP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color w:val="A6C0B4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A6C0B4"/>
                <w:sz w:val="17"/>
                <w:szCs w:val="17"/>
              </w:rPr>
              <w:br/>
              <w:t xml:space="preserve">(206) 555-0151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2tkyfopyfyhx_kkykjgoz">
              <w:r>
                <w:rPr>
                  <w:rFonts w:ascii="Calibri" w:cs="Calibri" w:eastAsia="Calibri" w:hAnsi="Calibri"/>
                  <w:color w:val="A6C0B4"/>
                  <w:sz w:val="17"/>
                  <w:szCs w:val="17"/>
                  <w:u w:val="single"/>
                </w:rPr>
                <w:t xml:space="preserve">a.williams@email.com</w:t>
              </w:r>
            </w:hyperlink>
            <w:r>
              <w:rPr>
                <w:rFonts w:ascii="Calibri" w:cs="Calibri" w:eastAsia="Calibri" w:hAnsi="Calibri"/>
                <w:color w:val="A6C0B4"/>
                <w:sz w:val="17"/>
                <w:szCs w:val="17"/>
              </w:rPr>
              <w:br/>
              <w:t xml:space="preserve">in/andrewilliams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CC4B2"/>
                <w:spacing w:val="16"/>
                <w:sz w:val="15"/>
                <w:szCs w:val="15"/>
              </w:rPr>
              <w:t xml:space="preserve">IMPACT SNAPSHOT</w:t>
            </w:r>
          </w:p>
          <w:p>
            <w:pPr>
              <w:shd w:fill="2E4A3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800</w:t>
            </w:r>
            <w:r>
              <w:rPr>
                <w:rFonts w:ascii="Calibri" w:cs="Calibri" w:eastAsia="Calibri" w:hAnsi="Calibri"/>
                <w:color w:val="D2E4DC"/>
                <w:spacing w:val="3"/>
                <w:sz w:val="12"/>
                <w:szCs w:val="12"/>
              </w:rPr>
              <w:br/>
              <w:t xml:space="preserve">  CLIENT-GROUP HEADCOUNT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2E4A3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+18 pts</w:t>
            </w:r>
            <w:r>
              <w:rPr>
                <w:rFonts w:ascii="Calibri" w:cs="Calibri" w:eastAsia="Calibri" w:hAnsi="Calibri"/>
                <w:color w:val="D2E4DC"/>
                <w:spacing w:val="3"/>
                <w:sz w:val="12"/>
                <w:szCs w:val="12"/>
              </w:rPr>
              <w:br/>
              <w:t xml:space="preserve">  ENGAGEMENT SCORE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2E4A3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−31%</w:t>
            </w:r>
            <w:r>
              <w:rPr>
                <w:rFonts w:ascii="Calibri" w:cs="Calibri" w:eastAsia="Calibri" w:hAnsi="Calibri"/>
                <w:color w:val="D2E4DC"/>
                <w:spacing w:val="3"/>
                <w:sz w:val="12"/>
                <w:szCs w:val="12"/>
              </w:rPr>
              <w:br/>
              <w:t xml:space="preserve">  REGRETTED ATTRITION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2E4A3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3</w:t>
            </w:r>
            <w:r>
              <w:rPr>
                <w:rFonts w:ascii="Calibri" w:cs="Calibri" w:eastAsia="Calibri" w:hAnsi="Calibri"/>
                <w:color w:val="D2E4DC"/>
                <w:spacing w:val="3"/>
                <w:sz w:val="12"/>
                <w:szCs w:val="12"/>
              </w:rPr>
              <w:br/>
              <w:t xml:space="preserve">  REORGS LED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CC4B2"/>
                <w:spacing w:val="16"/>
                <w:sz w:val="15"/>
                <w:szCs w:val="15"/>
              </w:rPr>
              <w:t xml:space="preserve">FOCUS AREAS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2E4DC"/>
                <w:sz w:val="18"/>
                <w:szCs w:val="18"/>
              </w:rPr>
              <w:t xml:space="preserve">Org Design · Talent &amp; Succession · Change Management · Comp Planning · Workforce Analytics · Coaching Leaders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CC4B2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M.S., Org Development</w:t>
            </w:r>
            <w:r>
              <w:rPr>
                <w:rFonts w:ascii="Calibri" w:cs="Calibri" w:eastAsia="Calibri" w:hAnsi="Calibri"/>
                <w:color w:val="A6C0B4"/>
                <w:sz w:val="17"/>
                <w:szCs w:val="17"/>
              </w:rPr>
              <w:br/>
              <w:t xml:space="preserve">Seattle University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Business</w:t>
            </w:r>
            <w:r>
              <w:rPr>
                <w:rFonts w:ascii="Calibri" w:cs="Calibri" w:eastAsia="Calibri" w:hAnsi="Calibri"/>
                <w:color w:val="A6C0B4"/>
                <w:sz w:val="17"/>
                <w:szCs w:val="17"/>
              </w:rPr>
              <w:br/>
              <w:t xml:space="preserve">Univ. of Washington</w:t>
            </w:r>
          </w:p>
        </w:tc>
        <w:tc>
          <w:tcPr>
            <w:tcW w:type="dxa" w:w="81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9414C"/>
                <w:sz w:val="20"/>
                <w:szCs w:val="20"/>
              </w:rPr>
              <w:t xml:space="preserve">Strategic HR business partner who aligns people strategy with business goals. Ten years advising senior leaders on org design, talent, and change — translating headcount plans, engagement data, and succession risk into action. I'm the partner execs call before a reorg, a tough exit, or a culture problem.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20382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Senior HR Business Partner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0382E"/>
                <w:sz w:val="18"/>
                <w:szCs w:val="18"/>
              </w:rPr>
              <w:t xml:space="preserve">Microsoft — Redmond,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Partner with VPs across an 800-person engineering org on org design, talent, and workforce planning.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Lifted engagement 18 points and cut regretted attrition 31% through manager coaching and action plans.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Led three reorganizations affecting 300+ employees with clear comms and zero compliance issues.</w:t>
            </w:r>
          </w:p>
          <w:p>
            <w:pPr>
              <w:spacing w:after="110"/>
            </w:pP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HR Business Partner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0382E"/>
                <w:sz w:val="18"/>
                <w:szCs w:val="18"/>
              </w:rPr>
              <w:t xml:space="preserve">Boeing — Everett,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Advised a 400-person business unit on performance, comp, and employee relations.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Built a succession plan that filled 80% of leadership openings internally.</w:t>
            </w:r>
          </w:p>
          <w:p>
            <w:pPr>
              <w:spacing w:after="110"/>
            </w:pP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HR Generalist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0382E"/>
                <w:sz w:val="18"/>
                <w:szCs w:val="18"/>
              </w:rPr>
              <w:t xml:space="preserve">Nordstrom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Supported store-leadership teams with hiring, relations, and policy guidance.</w:t>
            </w:r>
          </w:p>
          <w:p>
            <w:pPr>
              <w:spacing w:after="40"/>
            </w:pPr>
          </w:p>
          <w:p>
            <w:pPr>
              <w:pBdr>
                <w:top w:val="single" w:color="E2EDE7" w:sz="4"/>
              </w:pBdr>
              <w:spacing w:after="0" w:before="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140"/>
            </w:pPr>
            <w:r>
              <w:rPr>
                <w:rFonts w:ascii="Calibri" w:cs="Calibri" w:eastAsia="Calibri" w:hAnsi="Calibri"/>
                <w:b/>
                <w:bCs/>
                <w:color w:val="20382E"/>
                <w:spacing w:val="24"/>
                <w:sz w:val="17"/>
                <w:szCs w:val="17"/>
              </w:rPr>
              <w:t xml:space="preserve">SYSTEMS &amp; ANALYTICS</w:t>
            </w:r>
          </w:p>
          <w:p>
            <w:r>
              <w:rPr>
                <w:rFonts w:ascii="Calibri" w:cs="Calibri" w:eastAsia="Calibri" w:hAnsi="Calibri"/>
                <w:color w:val="39414C"/>
                <w:sz w:val="18"/>
                <w:szCs w:val="18"/>
              </w:rPr>
              <w:t xml:space="preserve">Workday · Visier · Culture Amp · Glint · Power BI · Excel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tkyfopyfyhx_kkykjgoz" Type="http://schemas.openxmlformats.org/officeDocument/2006/relationships/hyperlink" Target="mailto:a.willi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2026-06-18T21:45:50.449Z</dcterms:created>
  <dcterms:modified xsi:type="dcterms:W3CDTF">2026-06-18T21:45:50.449Z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