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D3D9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53"/>
                      <w:szCs w:val="53"/>
                    </w:rPr>
                    <w:t xml:space="preserve">Jasmine Okoye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D3D9E"/>
                      <w:spacing w:val="18"/>
                      <w:sz w:val="18"/>
                      <w:szCs w:val="18"/>
                    </w:rPr>
                    <w:t xml:space="preserve">SENIOR TECHNICAL RECRUITER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t xml:space="preserve">Austin, TX</w:t>
                  </w: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(512)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4b3_yb0t-excgu6iodfbz">
                    <w:r>
                      <w:rPr>
                        <w:rFonts w:ascii="Calibri" w:cs="Calibri" w:eastAsia="Calibri" w:hAnsi="Calibri"/>
                        <w:color w:val="6D3D9E"/>
                        <w:sz w:val="17"/>
                        <w:szCs w:val="17"/>
                        <w:u w:val="single"/>
                      </w:rPr>
                      <w:t xml:space="preserve">j.okoye@email.com</w:t>
                    </w:r>
                  </w:hyperlink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in/jasmineokoye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3A4A44"/>
                <w:sz w:val="20"/>
                <w:szCs w:val="20"/>
              </w:rPr>
              <w:t xml:space="preserve">Full-cycle recruiter who fills hard roles fast — without sacrificing quality of hire. Eight years sourcing engineers, product, and go-to-market talent in competitive markets. I build pipelines, sell the story, and shepherd candidates from first touch to signed offer with a recruiter brand people remember.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6D3D9E"/>
                <w:spacing w:val="24"/>
                <w:sz w:val="17"/>
                <w:szCs w:val="17"/>
              </w:rPr>
              <w:t xml:space="preserve">HIRING FUNNEL — LAST 12 MONTHS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28"/>
              <w:gridCol w:w="90"/>
              <w:gridCol w:w="2128"/>
              <w:gridCol w:w="90"/>
              <w:gridCol w:w="2128"/>
              <w:gridCol w:w="90"/>
              <w:gridCol w:w="2128"/>
              <w:gridCol w:w="90"/>
              <w:gridCol w:w="2128"/>
            </w:tblGrid>
            <w:tr>
              <w:tc>
                <w:tcPr>
                  <w:tcW w:type="dxa" w:w="2128"/>
                  <w:tcBorders>
                    <w:top w:val="single" w:color="DECFF0" w:sz="3"/>
                    <w:left w:val="single" w:color="DECFF0" w:sz="3"/>
                    <w:bottom w:val="single" w:color="DECFF0" w:sz="3"/>
                    <w:right w:val="single" w:color="DECFF0" w:sz="3"/>
                  </w:tcBorders>
                  <w:shd w:fill="F3EDFA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D3D9E"/>
                      <w:sz w:val="23"/>
                      <w:szCs w:val="23"/>
                    </w:rPr>
                    <w:t xml:space="preserve">3,800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SOURCED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ECFF0" w:sz="3"/>
                    <w:left w:val="single" w:color="DECFF0" w:sz="3"/>
                    <w:bottom w:val="single" w:color="DECFF0" w:sz="3"/>
                    <w:right w:val="single" w:color="DECFF0" w:sz="3"/>
                  </w:tcBorders>
                  <w:shd w:fill="F3EDFA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D3D9E"/>
                      <w:sz w:val="23"/>
                      <w:szCs w:val="23"/>
                    </w:rPr>
                    <w:t xml:space="preserve">640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SCREENED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ECFF0" w:sz="3"/>
                    <w:left w:val="single" w:color="DECFF0" w:sz="3"/>
                    <w:bottom w:val="single" w:color="DECFF0" w:sz="3"/>
                    <w:right w:val="single" w:color="DECFF0" w:sz="3"/>
                  </w:tcBorders>
                  <w:shd w:fill="F3EDFA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D3D9E"/>
                      <w:sz w:val="23"/>
                      <w:szCs w:val="23"/>
                    </w:rPr>
                    <w:t xml:space="preserve">210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ONSITE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ECFF0" w:sz="3"/>
                    <w:left w:val="single" w:color="DECFF0" w:sz="3"/>
                    <w:bottom w:val="single" w:color="DECFF0" w:sz="3"/>
                    <w:right w:val="single" w:color="DECFF0" w:sz="3"/>
                  </w:tcBorders>
                  <w:shd w:fill="F3EDFA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D3D9E"/>
                      <w:sz w:val="23"/>
                      <w:szCs w:val="23"/>
                    </w:rPr>
                    <w:t xml:space="preserve">92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OFFERS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DECFF0" w:sz="3"/>
                    <w:left w:val="single" w:color="DECFF0" w:sz="3"/>
                    <w:bottom w:val="single" w:color="DECFF0" w:sz="3"/>
                    <w:right w:val="single" w:color="DECFF0" w:sz="3"/>
                  </w:tcBorders>
                  <w:shd w:fill="6D3D9E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78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DEEE9"/>
                      <w:spacing w:val="3"/>
                      <w:sz w:val="11"/>
                      <w:szCs w:val="11"/>
                    </w:rPr>
                    <w:t xml:space="preserve">HIRES</w:t>
                  </w:r>
                </w:p>
              </w:tc>
            </w:tr>
          </w:tbl>
          <w:p>
            <w:pPr>
              <w:spacing w:after="14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06"/>
              <w:gridCol w:w="90"/>
              <w:gridCol w:w="3606"/>
              <w:gridCol w:w="90"/>
              <w:gridCol w:w="3606"/>
            </w:tblGrid>
            <w:tr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71836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28 days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A6DC"/>
                      <w:spacing w:val="3"/>
                      <w:sz w:val="11"/>
                      <w:szCs w:val="11"/>
                    </w:rPr>
                    <w:t xml:space="preserve">AVG. TIME-TO-FILL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71836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85%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A6DC"/>
                      <w:spacing w:val="3"/>
                      <w:sz w:val="11"/>
                      <w:szCs w:val="11"/>
                    </w:rPr>
                    <w:t xml:space="preserve">OFFER-ACCEPT RATE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71836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91%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A6DC"/>
                      <w:spacing w:val="3"/>
                      <w:sz w:val="11"/>
                      <w:szCs w:val="11"/>
                    </w:rPr>
                    <w:t xml:space="preserve">1-YR RETENTION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6D3D9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Senior Technical 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D3D9E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Hired 78 engineers and PMs last year at a 28-day average time-to-fill and 85% offer-accept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Built sourcing pipelines that cut reliance on agencies, saving an estimated $480K in fees.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Partner with hiring managers on scorecards, calibration, and inclusive interview design.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D3D9E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Filled 50+ roles a year across sales and support, consistently beating time-to-fill targets.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Raised offer-accept rate from 72% to 84% by improving the candidate experience.</w:t>
            </w:r>
          </w:p>
          <w:p>
            <w:pPr>
              <w:spacing w:after="60"/>
            </w:pP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6D3D9E"/>
                <w:spacing w:val="16"/>
                <w:sz w:val="17"/>
                <w:szCs w:val="17"/>
              </w:rPr>
              <w:t xml:space="preserve">ATS &amp; SOURCING</w:t>
            </w:r>
          </w:p>
          <w:p>
            <w:pPr>
              <w:spacing w:after="130" w:line="300" w:lineRule="auto"/>
            </w:pP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Greenhouse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Lever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LinkedIn Recruiter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Gem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Workday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4A2A78"/>
                <w:sz w:val="17"/>
                <w:szCs w:val="17"/>
                <w:shd w:fill="F3EDFA" w:color="auto" w:val="clear"/>
              </w:rPr>
              <w:t xml:space="preserve">  Hired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6D3D9E"/>
                <w:spacing w:val="16"/>
                <w:sz w:val="17"/>
                <w:szCs w:val="17"/>
              </w:rPr>
              <w:t xml:space="preserve">CREDENTIALS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B25"/>
                <w:sz w:val="18"/>
                <w:szCs w:val="18"/>
              </w:rPr>
              <w:t xml:space="preserve">AIRS CIR · LinkedIn Certified</w:t>
            </w:r>
            <w:r>
              <w:rPr>
                <w:rFonts w:ascii="Calibri" w:cs="Calibri" w:eastAsia="Calibri" w:hAnsi="Calibri"/>
                <w:color w:val="3A4A44"/>
                <w:sz w:val="18"/>
                <w:szCs w:val="18"/>
              </w:rPr>
              <w:br/>
              <w:t xml:space="preserve">B.A., Psychology — UT Austin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A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b3_yb0t-excgu6iodfbz" Type="http://schemas.openxmlformats.org/officeDocument/2006/relationships/hyperlink" Target="mailto:j.okoy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2026-06-18T21:45:50.440Z</dcterms:created>
  <dcterms:modified xsi:type="dcterms:W3CDTF">2026-06-18T21:45:50.440Z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