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33383D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E8752A"/>
                      <w:spacing w:val="30"/>
                      <w:sz w:val="16"/>
                      <w:szCs w:val="16"/>
                    </w:rPr>
                    <w:t xml:space="preserve">HVAC Service &amp; Installation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RAY COLEMAN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Denver, CO 80216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(303)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ray.coleman@email.com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E8752A" w:color="auto" w:val="clear"/>
            <w:tcMar>
              <w:top w:type="dxa" w:w="160"/>
              <w:left w:type="dxa" w:w="720"/>
              <w:bottom w:type="dxa" w:w="16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Universal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NATE Certified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LICENSE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Journeyman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9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EPA- and NATE-certified HVAC technician with 9 years installing, servicing, and troubleshooting residential heating and cooling systems. Fast and accurate on diagnostics, clean on installs, and straight with customers. Comfortable across furnaces, heat pumps, AC, and mini-splits — and on call when systems go down.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33383D" w:sz="4"/>
              <w:left w:val="single" w:color="33383D" w:sz="4"/>
              <w:bottom w:val="single" w:color="33383D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z w:val="30"/>
                <w:szCs w:val="30"/>
              </w:rPr>
              <w:t xml:space="preserve">94%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FIRST-VISIT FIX</w:t>
            </w:r>
          </w:p>
        </w:tc>
        <w:tc>
          <w:tcPr>
            <w:tcW w:type="dxa" w:w="2700"/>
            <w:tcBorders>
              <w:top w:val="single" w:color="33383D" w:sz="4"/>
              <w:left w:val="single" w:color="DDDDDD" w:sz="4"/>
              <w:bottom w:val="single" w:color="33383D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z w:val="30"/>
                <w:szCs w:val="30"/>
              </w:rPr>
              <w:t xml:space="preserve">40+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CALLS / WEEK</w:t>
            </w:r>
          </w:p>
        </w:tc>
        <w:tc>
          <w:tcPr>
            <w:tcW w:type="dxa" w:w="2700"/>
            <w:tcBorders>
              <w:top w:val="single" w:color="33383D" w:sz="4"/>
              <w:left w:val="single" w:color="DDDDDD" w:sz="4"/>
              <w:bottom w:val="single" w:color="33383D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z w:val="30"/>
                <w:szCs w:val="30"/>
              </w:rPr>
              <w:t xml:space="preserve">120+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INSTALLS / YR</w:t>
            </w:r>
          </w:p>
        </w:tc>
        <w:tc>
          <w:tcPr>
            <w:tcW w:type="dxa" w:w="2700"/>
            <w:tcBorders>
              <w:top w:val="single" w:color="33383D" w:sz="4"/>
              <w:left w:val="single" w:color="DDDDDD" w:sz="4"/>
              <w:bottom w:val="single" w:color="33383D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z w:val="30"/>
                <w:szCs w:val="30"/>
              </w:rPr>
              <w:t xml:space="preserve">4.9★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REVIEW RATING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33383D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Service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Comfort Kings Heating &amp; Air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 and repair furnaces, heat pumps, and AC systems with a 94% first-visit fix rate.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Recover, evacuate, and charge refrigerant per EPA 608; braze line sets and replace compressors.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4.9★ customer rating; recommend and quote system replacements.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Front Range Mechanical — Aurora,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Installed 120+ residential systems/year — furnaces, condensers, ductwork, and thermostats.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Performed Manual J load calcs and start-up commissioning.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Apprentice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Applewood Plumbing Heating &amp; Electric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techs on installs and service; earned EPA 608 Universal.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Recovery · Brazing · Troubleshooting · Electrical Diagnostics · Ductwork · Thermostats &amp; Controls · Heat Pumps · Mini-Splits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3383D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 Diploma, Emily Griffith Tech · OSHA 10 · Valid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