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Garamond" w:cs="Garamond" w:eastAsia="Garamond" w:hAnsi="Garamond"/>
          <w:color w:val="26241F"/>
          <w:sz w:val="63"/>
          <w:szCs w:val="63"/>
        </w:rPr>
        <w:t xml:space="preserve">Sage Lindqvist</w:t>
      </w:r>
    </w:p>
    <w:p>
      <w:pPr>
        <w:spacing w:after="40"/>
      </w:pPr>
      <w:r>
        <w:rPr>
          <w:rFonts w:ascii="Calibri" w:cs="Calibri" w:eastAsia="Calibri" w:hAnsi="Calibri"/>
          <w:color w:val="8C8578"/>
          <w:spacing w:val="90"/>
          <w:sz w:val="18"/>
          <w:szCs w:val="18"/>
        </w:rPr>
        <w:t xml:space="preserve">CONTENT STRATEGIST &amp; WRITER</w:t>
      </w:r>
    </w:p>
    <w:p>
      <w:r>
        <w:rPr>
          <w:rFonts w:ascii="Calibri" w:cs="Calibri" w:eastAsia="Calibri" w:hAnsi="Calibri"/>
          <w:color w:val="7A7468"/>
          <w:sz w:val="19"/>
          <w:szCs w:val="19"/>
        </w:rPr>
        <w:t xml:space="preserve">Seattle, WA  ·  (206) 555-0163  ·  sage.lindqvist@email.com  ·  sagewrites.co</w:t>
      </w:r>
    </w:p>
    <w:p>
      <w:pPr>
        <w:pBdr>
          <w:bottom w:val="single" w:color="E2DDD2" w:sz="4" w:space="4"/>
        </w:pBdr>
        <w:spacing w:after="200" w:before="120"/>
      </w:pPr>
    </w:p>
    <w:p>
      <w:pPr>
        <w:spacing w:after="200"/>
      </w:pPr>
      <w:r>
        <w:rPr>
          <w:rFonts w:ascii="Calibri" w:cs="Calibri" w:eastAsia="Calibri" w:hAnsi="Calibri"/>
          <w:color w:val="48453D"/>
          <w:sz w:val="21"/>
          <w:szCs w:val="21"/>
        </w:rPr>
        <w:t xml:space="preserve">Content strategist and writer who shapes brand voice and turns complex ideas into clear, human stories. Ten years across editorial, technology, and the nonprofit sector.</w:t>
      </w:r>
    </w:p>
    <w:p>
      <w:pPr>
        <w:spacing w:after="110" w:before="0"/>
      </w:pPr>
      <w:r>
        <w:rPr>
          <w:rFonts w:ascii="Calibri" w:cs="Calibri" w:eastAsia="Calibri" w:hAnsi="Calibri"/>
          <w:b/>
          <w:bCs/>
          <w:color w:val="9A9387"/>
          <w:spacing w:val="90"/>
          <w:sz w:val="17"/>
          <w:szCs w:val="17"/>
        </w:rPr>
        <w:t xml:space="preserve">EXPERIENCE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1700"/>
      </w:tblGrid>
      <w:tr>
        <w:tc>
          <w:tcPr>
            <w:tcW w:type="dxa" w:w="8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6241F"/>
                <w:sz w:val="21"/>
                <w:szCs w:val="21"/>
              </w:rPr>
              <w:t xml:space="preserve">Lead Content Strategist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A39C8F"/>
                <w:sz w:val="18"/>
                <w:szCs w:val="18"/>
              </w:rPr>
              <w:t xml:space="preserve">2019 –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i w:val="false"/>
          <w:iCs w:val="false"/>
          <w:color w:val="7A7468"/>
          <w:sz w:val="19"/>
          <w:szCs w:val="19"/>
        </w:rPr>
        <w:t xml:space="preserve">Northlight Studio ·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3D"/>
          <w:sz w:val="19"/>
          <w:szCs w:val="19"/>
        </w:rPr>
        <w:t xml:space="preserve">Define voice, messaging, and editorial strategy for a dozen B2B and consumer brands.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3D"/>
          <w:sz w:val="19"/>
          <w:szCs w:val="19"/>
        </w:rPr>
        <w:t xml:space="preserve">Built content systems and style guides that scaled output 3× without adding headcount.</w:t>
      </w:r>
    </w:p>
    <w:p>
      <w:pPr>
        <w:spacing w:after="13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1700"/>
      </w:tblGrid>
      <w:tr>
        <w:tc>
          <w:tcPr>
            <w:tcW w:type="dxa" w:w="8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6241F"/>
                <w:sz w:val="21"/>
                <w:szCs w:val="21"/>
              </w:rPr>
              <w:t xml:space="preserve">Senior Writer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A39C8F"/>
                <w:sz w:val="18"/>
                <w:szCs w:val="18"/>
              </w:rPr>
              <w:t xml:space="preserve">2015 –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i w:val="false"/>
          <w:iCs w:val="false"/>
          <w:color w:val="7A7468"/>
          <w:sz w:val="19"/>
          <w:szCs w:val="19"/>
        </w:rPr>
        <w:t xml:space="preserve">Public Good Media · Portland, OR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3D"/>
          <w:sz w:val="19"/>
          <w:szCs w:val="19"/>
        </w:rPr>
        <w:t xml:space="preserve">Wrote and edited long-form features, campaigns, and executive communications.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3D"/>
          <w:sz w:val="19"/>
          <w:szCs w:val="19"/>
        </w:rPr>
        <w:t xml:space="preserve">Led a newsroom-style content calendar across print and digital.</w:t>
      </w:r>
    </w:p>
    <w:p>
      <w:pPr>
        <w:spacing w:after="13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0"/>
        <w:gridCol w:w="1700"/>
      </w:tblGrid>
      <w:tr>
        <w:tc>
          <w:tcPr>
            <w:tcW w:type="dxa" w:w="83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6241F"/>
                <w:sz w:val="21"/>
                <w:szCs w:val="21"/>
              </w:rPr>
              <w:t xml:space="preserve">Copywriter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A39C8F"/>
                <w:sz w:val="18"/>
                <w:szCs w:val="18"/>
              </w:rPr>
              <w:t xml:space="preserve">2013 –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i w:val="false"/>
          <w:iCs w:val="false"/>
          <w:color w:val="7A7468"/>
          <w:sz w:val="19"/>
          <w:szCs w:val="19"/>
        </w:rPr>
        <w:t xml:space="preserve">Field &amp; Form Agency · Portland, OR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8453D"/>
          <w:sz w:val="19"/>
          <w:szCs w:val="19"/>
        </w:rPr>
        <w:t xml:space="preserve">Crafted brand copy, taglines, and campaigns for lifestyle and tech clients.</w:t>
      </w:r>
    </w:p>
    <w:p>
      <w:pPr>
        <w:spacing w:after="130"/>
      </w:pPr>
    </w:p>
    <w:p>
      <w:pPr>
        <w:pBdr>
          <w:bottom w:val="single" w:color="E2DDD2" w:sz="4" w:space="4"/>
        </w:pBdr>
        <w:spacing w:after="200" w:before="12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60"/>
            </w:tcMar>
            <w:vAlign w:val="top"/>
          </w:tcPr>
          <w:p>
            <w:pPr>
              <w:spacing w:after="110" w:before="0"/>
            </w:pPr>
            <w:r>
              <w:rPr>
                <w:rFonts w:ascii="Calibri" w:cs="Calibri" w:eastAsia="Calibri" w:hAnsi="Calibri"/>
                <w:b/>
                <w:bCs/>
                <w:color w:val="9A9387"/>
                <w:spacing w:val="90"/>
                <w:sz w:val="17"/>
                <w:szCs w:val="17"/>
              </w:rPr>
              <w:t xml:space="preserve">CAPABILITIES</w:t>
            </w:r>
          </w:p>
          <w:p>
            <w:r>
              <w:rPr>
                <w:rFonts w:ascii="Calibri" w:cs="Calibri" w:eastAsia="Calibri" w:hAnsi="Calibri"/>
                <w:color w:val="48453D"/>
                <w:sz w:val="20"/>
                <w:szCs w:val="20"/>
              </w:rPr>
              <w:t xml:space="preserve">Brand Voice · Editorial Strategy · Long-Form &amp; UX Writing · Content Systems · Information Architecture · Editing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360"/>
              <w:bottom w:type="dxa" w:w="0"/>
              <w:right w:type="dxa" w:w="0"/>
            </w:tcMar>
            <w:vAlign w:val="top"/>
          </w:tcPr>
          <w:p>
            <w:pPr>
              <w:spacing w:after="110" w:before="0"/>
            </w:pPr>
            <w:r>
              <w:rPr>
                <w:rFonts w:ascii="Calibri" w:cs="Calibri" w:eastAsia="Calibri" w:hAnsi="Calibri"/>
                <w:b/>
                <w:bCs/>
                <w:color w:val="9A9387"/>
                <w:spacing w:val="90"/>
                <w:sz w:val="17"/>
                <w:szCs w:val="17"/>
              </w:rPr>
              <w:t xml:space="preserve">EDUCATION &amp; HONORS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8453D"/>
                <w:sz w:val="20"/>
                <w:szCs w:val="20"/>
              </w:rPr>
              <w:t xml:space="preserve">B.A., English &amp; Journalism — University of Oregon · 2013</w:t>
            </w:r>
            <w:r>
              <w:rPr>
                <w:rFonts w:ascii="Calibri" w:cs="Calibri" w:eastAsia="Calibri" w:hAnsi="Calibri"/>
                <w:color w:val="48453D"/>
                <w:sz w:val="20"/>
                <w:szCs w:val="20"/>
              </w:rPr>
              <w:br/>
              <w:t xml:space="preserve">Folio: Eddie Award, B2B Feature · 2021</w:t>
            </w:r>
          </w:p>
        </w:tc>
      </w:tr>
    </w:tbl>
    <w:sectPr>
      <w:pgSz w:w="12240" w:h="15840" w:orient="portrait"/>
      <w:pgMar w:top="1040" w:right="1120" w:bottom="900" w:left="11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8453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2026-06-16T03:25:38.437Z</dcterms:created>
  <dcterms:modified xsi:type="dcterms:W3CDTF">2026-06-16T03:25:38.437Z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