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3F3D9E" w:sz="12"/>
          <w:right w:val="none"/>
          <w:insideH w:val="none"/>
          <w:insideV w:val="none"/>
        </w:tblBorders>
        <w:tblLayout w:type="fixed"/>
      </w:tblPr>
      <w:tblGrid>
        <w:gridCol w:w="6836"/>
        <w:gridCol w:w="3844"/>
      </w:tblGrid>
      <w:tr>
        <w:tc>
          <w:tcPr>
            <w:tcW w:type="dxa" w:w="68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0211F"/>
                <w:sz w:val="54"/>
                <w:szCs w:val="54"/>
              </w:rPr>
              <w:t xml:space="preserve">Priyanka Rao</w:t>
            </w:r>
          </w:p>
          <w:p>
            <w:r>
              <w:rPr>
                <w:rFonts w:ascii="Calibri" w:cs="Calibri" w:eastAsia="Calibri" w:hAnsi="Calibri"/>
                <w:b/>
                <w:bCs/>
                <w:color w:val="3F3D9E"/>
                <w:spacing w:val="24"/>
                <w:sz w:val="18"/>
                <w:szCs w:val="18"/>
              </w:rPr>
              <w:t xml:space="preserve">GROWTH &amp; DEMAND GENERATION LEAD</w:t>
            </w:r>
          </w:p>
        </w:tc>
        <w:tc>
          <w:tcPr>
            <w:tcW w:type="dxa" w:w="38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150"/>
              <w:right w:type="dxa" w:w="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t xml:space="preserve">Boston, MA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(617) 555-0150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priyanka.rao@email.com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in/priyankarao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64746"/>
          <w:sz w:val="20"/>
          <w:szCs w:val="20"/>
        </w:rPr>
        <w:t xml:space="preserve">Full-funnel growth marketer who builds repeatable demand engines. I run experiments relentlessly, connect spend to pipeline, and scale what works. Eight years driving MQL-to-revenue across B2B SaaS — equal parts creative campaigns and rigorous analytics.</w:t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3F3D9E"/>
          <w:spacing w:val="24"/>
          <w:sz w:val="17"/>
          <w:szCs w:val="17"/>
        </w:rPr>
        <w:t xml:space="preserve">FUNNEL IMPACT — LAST 12 MONTHS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310"/>
        <w:gridCol w:w="480"/>
        <w:gridCol w:w="2310"/>
        <w:gridCol w:w="480"/>
        <w:gridCol w:w="2310"/>
        <w:gridCol w:w="480"/>
        <w:gridCol w:w="2310"/>
      </w:tblGrid>
      <w:tr>
        <w:tc>
          <w:tcPr>
            <w:tcW w:type="dxa" w:w="2310"/>
            <w:tcBorders>
              <w:top w:val="single" w:color="D6D5F0" w:sz="3"/>
              <w:left w:val="single" w:color="D6D5F0" w:sz="3"/>
              <w:bottom w:val="single" w:color="D6D5F0" w:sz="3"/>
              <w:right w:val="single" w:color="D6D5F0" w:sz="3"/>
            </w:tcBorders>
            <w:shd w:fill="EDEDF8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24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D9E"/>
                <w:sz w:val="30"/>
                <w:szCs w:val="30"/>
              </w:rPr>
              <w:t xml:space="preserve">540K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4908F"/>
                <w:spacing w:val="3"/>
                <w:sz w:val="12"/>
                <w:szCs w:val="12"/>
              </w:rPr>
              <w:t xml:space="preserve">VISITORS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CC0BF"/>
                <w:sz w:val="21"/>
                <w:szCs w:val="21"/>
              </w:rPr>
              <w:t xml:space="preserve">›</w:t>
            </w:r>
          </w:p>
        </w:tc>
        <w:tc>
          <w:tcPr>
            <w:tcW w:type="dxa" w:w="2310"/>
            <w:tcBorders>
              <w:top w:val="single" w:color="D6D5F0" w:sz="3"/>
              <w:left w:val="single" w:color="D6D5F0" w:sz="3"/>
              <w:bottom w:val="single" w:color="D6D5F0" w:sz="3"/>
              <w:right w:val="single" w:color="D6D5F0" w:sz="3"/>
            </w:tcBorders>
            <w:shd w:fill="EDEDF8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24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D9E"/>
                <w:sz w:val="30"/>
                <w:szCs w:val="30"/>
              </w:rPr>
              <w:t xml:space="preserve">48K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4908F"/>
                <w:spacing w:val="3"/>
                <w:sz w:val="12"/>
                <w:szCs w:val="12"/>
              </w:rPr>
              <w:t xml:space="preserve">LEADS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CC0BF"/>
                <w:sz w:val="21"/>
                <w:szCs w:val="21"/>
              </w:rPr>
              <w:t xml:space="preserve">›</w:t>
            </w:r>
          </w:p>
        </w:tc>
        <w:tc>
          <w:tcPr>
            <w:tcW w:type="dxa" w:w="2310"/>
            <w:tcBorders>
              <w:top w:val="single" w:color="D6D5F0" w:sz="3"/>
              <w:left w:val="single" w:color="D6D5F0" w:sz="3"/>
              <w:bottom w:val="single" w:color="D6D5F0" w:sz="3"/>
              <w:right w:val="single" w:color="D6D5F0" w:sz="3"/>
            </w:tcBorders>
            <w:shd w:fill="EDEDF8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24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D9E"/>
                <w:sz w:val="30"/>
                <w:szCs w:val="30"/>
              </w:rPr>
              <w:t xml:space="preserve">12K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4908F"/>
                <w:spacing w:val="3"/>
                <w:sz w:val="12"/>
                <w:szCs w:val="12"/>
              </w:rPr>
              <w:t xml:space="preserve">MQLS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CC0BF"/>
                <w:sz w:val="21"/>
                <w:szCs w:val="21"/>
              </w:rPr>
              <w:t xml:space="preserve">›</w:t>
            </w:r>
          </w:p>
        </w:tc>
        <w:tc>
          <w:tcPr>
            <w:tcW w:type="dxa" w:w="23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F3D9E" w:color="auto" w:val="clear"/>
            <w:tcMar>
              <w:top w:type="dxa" w:w="150"/>
              <w:left w:type="dxa" w:w="30"/>
              <w:bottom w:type="dxa" w:w="150"/>
              <w:right w:type="dxa" w:w="30"/>
            </w:tcMar>
            <w:vAlign w:val="center"/>
          </w:tcPr>
          <w:p>
            <w:pPr>
              <w:spacing w:after="24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$42M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A9D2D1"/>
                <w:spacing w:val="3"/>
                <w:sz w:val="12"/>
                <w:szCs w:val="12"/>
              </w:rPr>
              <w:t xml:space="preserve">PIPELINE</w:t>
            </w:r>
          </w:p>
        </w:tc>
      </w:tr>
    </w:tbl>
    <w:p>
      <w:pPr>
        <w:spacing w:after="22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80"/>
        <w:gridCol w:w="300"/>
        <w:gridCol w:w="4400"/>
      </w:tblGrid>
      <w:tr>
        <w:tc>
          <w:tcPr>
            <w:tcW w:type="dxa" w:w="5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3F3D9E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56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980"/>
              <w:gridCol w:w="1700"/>
            </w:tblGrid>
            <w:tr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20"/>
                      <w:szCs w:val="20"/>
                    </w:rPr>
                    <w:t xml:space="preserve">Growth &amp; Demand Gen Lead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3A2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F3D9E"/>
                <w:sz w:val="18"/>
                <w:szCs w:val="18"/>
              </w:rPr>
              <w:t xml:space="preserve">Klaviyo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Built a demand engine generating $42M in pipeline a year at a 4.2× marketing-sourced ROI.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Cut blended CAC 33% while doubling MQL volume through an always-on experimentation program.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Lead a team of 5 across paid, lifecycle, and web, running 15+ tests a quarter.</w:t>
            </w:r>
          </w:p>
          <w:p>
            <w:pPr>
              <w:spacing w:after="110"/>
            </w:pPr>
          </w:p>
          <w:tbl>
            <w:tblPr>
              <w:tblW w:type="dxa" w:w="56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980"/>
              <w:gridCol w:w="1700"/>
            </w:tblGrid>
            <w:tr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20"/>
                      <w:szCs w:val="20"/>
                    </w:rPr>
                    <w:t xml:space="preserve">Demand Generation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3A2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F3D9E"/>
                <w:sz w:val="18"/>
                <w:szCs w:val="18"/>
              </w:rPr>
              <w:t xml:space="preserve">Drift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Grew inbound pipeline 3× through webinars, lifecycle email, and conversational landing pages.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Owned the martech stack and lead-scoring model in Marketo and Salesforce.</w:t>
            </w:r>
          </w:p>
          <w:p>
            <w:pPr>
              <w:spacing w:after="110"/>
            </w:pPr>
          </w:p>
          <w:tbl>
            <w:tblPr>
              <w:tblW w:type="dxa" w:w="56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980"/>
              <w:gridCol w:w="1700"/>
            </w:tblGrid>
            <w:tr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20"/>
                      <w:szCs w:val="20"/>
                    </w:rPr>
                    <w:t xml:space="preserve">Growth Marketing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3A2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F3D9E"/>
                <w:sz w:val="18"/>
                <w:szCs w:val="18"/>
              </w:rPr>
              <w:t xml:space="preserve">Wistia — Cambridge,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746"/>
                <w:sz w:val="19"/>
                <w:szCs w:val="19"/>
              </w:rPr>
              <w:t xml:space="preserve">Ran landing-page and email A/B tests that lifted trial signups 40%.</w:t>
            </w:r>
          </w:p>
          <w:p>
            <w:pPr>
              <w:spacing w:after="0"/>
            </w:pP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3F3D9E"/>
                <w:spacing w:val="24"/>
                <w:sz w:val="17"/>
                <w:szCs w:val="17"/>
              </w:rPr>
              <w:t xml:space="preserve">EXPERIMENT LOG</w:t>
            </w:r>
          </w:p>
          <w:tbl>
            <w:tblPr>
              <w:tblW w:type="dxa" w:w="4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0"/>
              <w:gridCol w:w="3980"/>
            </w:tblGrid>
            <w:tr>
              <w:tc>
                <w:tcPr>
                  <w:tcW w:type="dxa" w:w="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hd w:fill="3F3D9E" w:color="auto" w:val="clear"/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 01 </w:t>
                  </w:r>
                </w:p>
              </w:tc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30"/>
                    <w:right w:type="dxa" w:w="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17"/>
                      <w:szCs w:val="17"/>
                    </w:rPr>
                    <w:t xml:space="preserve">Interactive ROI calculator</w:t>
                  </w:r>
                </w:p>
                <w:p>
                  <w:r>
                    <w:rPr>
                      <w:rFonts w:ascii="Calibri" w:cs="Calibri" w:eastAsia="Calibri" w:hAnsi="Calibri"/>
                      <w:color w:val="5F7271"/>
                      <w:sz w:val="17"/>
                      <w:szCs w:val="17"/>
                    </w:rPr>
                    <w:t xml:space="preserve">+62% demo conversion</w:t>
                  </w:r>
                </w:p>
              </w:tc>
            </w:tr>
          </w:tbl>
          <w:tbl>
            <w:tblPr>
              <w:tblW w:type="dxa" w:w="4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0"/>
              <w:gridCol w:w="3980"/>
            </w:tblGrid>
            <w:tr>
              <w:tc>
                <w:tcPr>
                  <w:tcW w:type="dxa" w:w="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hd w:fill="3F3D9E" w:color="auto" w:val="clear"/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 02 </w:t>
                  </w:r>
                </w:p>
              </w:tc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30"/>
                    <w:right w:type="dxa" w:w="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17"/>
                      <w:szCs w:val="17"/>
                    </w:rPr>
                    <w:t xml:space="preserve">Intent-based ad retargeting</w:t>
                  </w:r>
                </w:p>
                <w:p>
                  <w:r>
                    <w:rPr>
                      <w:rFonts w:ascii="Calibri" w:cs="Calibri" w:eastAsia="Calibri" w:hAnsi="Calibri"/>
                      <w:color w:val="5F7271"/>
                      <w:sz w:val="17"/>
                      <w:szCs w:val="17"/>
                    </w:rPr>
                    <w:t xml:space="preserve">−28% CAC</w:t>
                  </w:r>
                </w:p>
              </w:tc>
            </w:tr>
          </w:tbl>
          <w:tbl>
            <w:tblPr>
              <w:tblW w:type="dxa" w:w="4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0"/>
              <w:gridCol w:w="3980"/>
            </w:tblGrid>
            <w:tr>
              <w:tc>
                <w:tcPr>
                  <w:tcW w:type="dxa" w:w="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hd w:fill="3F3D9E" w:color="auto" w:val="clear"/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 03 </w:t>
                  </w:r>
                </w:p>
              </w:tc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30"/>
                    <w:right w:type="dxa" w:w="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17"/>
                      <w:szCs w:val="17"/>
                    </w:rPr>
                    <w:t xml:space="preserve">Webinar-to-pipeline nurture</w:t>
                  </w:r>
                </w:p>
                <w:p>
                  <w:r>
                    <w:rPr>
                      <w:rFonts w:ascii="Calibri" w:cs="Calibri" w:eastAsia="Calibri" w:hAnsi="Calibri"/>
                      <w:color w:val="5F7271"/>
                      <w:sz w:val="17"/>
                      <w:szCs w:val="17"/>
                    </w:rPr>
                    <w:t xml:space="preserve">$6M sourced in 2 quarters</w:t>
                  </w:r>
                </w:p>
              </w:tc>
            </w:tr>
          </w:tbl>
          <w:tbl>
            <w:tblPr>
              <w:tblW w:type="dxa" w:w="44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0"/>
              <w:gridCol w:w="3980"/>
            </w:tblGrid>
            <w:tr>
              <w:tc>
                <w:tcPr>
                  <w:tcW w:type="dxa" w:w="4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hd w:fill="3F3D9E" w:color="auto" w:val="clear"/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7"/>
                      <w:szCs w:val="17"/>
                    </w:rPr>
                    <w:t xml:space="preserve"> 04 </w:t>
                  </w:r>
                </w:p>
              </w:tc>
              <w:tc>
                <w:tcPr>
                  <w:tcW w:type="dxa" w:w="3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130"/>
                    <w:right w:type="dxa" w:w="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0211F"/>
                      <w:sz w:val="17"/>
                      <w:szCs w:val="17"/>
                    </w:rPr>
                    <w:t xml:space="preserve">Homepage headline test</w:t>
                  </w:r>
                </w:p>
                <w:p>
                  <w:r>
                    <w:rPr>
                      <w:rFonts w:ascii="Calibri" w:cs="Calibri" w:eastAsia="Calibri" w:hAnsi="Calibri"/>
                      <w:color w:val="5F7271"/>
                      <w:sz w:val="17"/>
                      <w:szCs w:val="17"/>
                    </w:rPr>
                    <w:t xml:space="preserve">+24% signups</w:t>
                  </w:r>
                </w:p>
              </w:tc>
            </w:tr>
          </w:tbl>
          <w:p>
            <w:pPr>
              <w:spacing w:after="90" w:before="80"/>
            </w:pPr>
            <w:r>
              <w:rPr>
                <w:rFonts w:ascii="Calibri" w:cs="Calibri" w:eastAsia="Calibri" w:hAnsi="Calibri"/>
                <w:b/>
                <w:bCs/>
                <w:color w:val="3F3D9E"/>
                <w:spacing w:val="18"/>
                <w:sz w:val="17"/>
                <w:szCs w:val="17"/>
              </w:rPr>
              <w:t xml:space="preserve">MARTECH STACK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64746"/>
                <w:sz w:val="18"/>
                <w:szCs w:val="18"/>
              </w:rPr>
              <w:t xml:space="preserve">Marketo · HubSpot · Salesforce · Optimizely · Segment · Google Analytics · Looker</w:t>
            </w:r>
          </w:p>
          <w:p>
            <w:pPr>
              <w:spacing w:after="60" w:before="170"/>
            </w:pPr>
            <w:r>
              <w:rPr>
                <w:rFonts w:ascii="Calibri" w:cs="Calibri" w:eastAsia="Calibri" w:hAnsi="Calibri"/>
                <w:b/>
                <w:bCs/>
                <w:color w:val="3F3D9E"/>
                <w:spacing w:val="18"/>
                <w:sz w:val="17"/>
                <w:szCs w:val="17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0211F"/>
                <w:sz w:val="18"/>
                <w:szCs w:val="18"/>
              </w:rPr>
              <w:t xml:space="preserve">B.S., Statistics &amp; Marketing</w:t>
            </w:r>
            <w:r>
              <w:rPr>
                <w:rFonts w:ascii="Calibri" w:cs="Calibri" w:eastAsia="Calibri" w:hAnsi="Calibri"/>
                <w:color w:val="5F7271"/>
                <w:sz w:val="17"/>
                <w:szCs w:val="17"/>
              </w:rPr>
              <w:br/>
              <w:t xml:space="preserve">Boston University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7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2026-06-18T20:07:21.623Z</dcterms:created>
  <dcterms:modified xsi:type="dcterms:W3CDTF">2026-06-18T20:07:21.623Z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