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41B28"/>
                <w:sz w:val="54"/>
                <w:szCs w:val="54"/>
              </w:rPr>
              <w:t xml:space="preserve">Olivia Bennett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5FE0"/>
                <w:spacing w:val="24"/>
                <w:sz w:val="18"/>
                <w:szCs w:val="18"/>
              </w:rPr>
              <w:t xml:space="preserve">PERFORMANCE MARKETING MANAGER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(512) 555-0140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o.bennett@email.com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in/oliviabennett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72"/>
        <w:gridCol w:w="130"/>
        <w:gridCol w:w="2572"/>
        <w:gridCol w:w="130"/>
        <w:gridCol w:w="2572"/>
        <w:gridCol w:w="130"/>
        <w:gridCol w:w="2572"/>
      </w:tblGrid>
      <w:tr>
        <w:tc>
          <w:tcPr>
            <w:tcW w:type="dxa" w:w="25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1B28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6FA0FF"/>
                <w:sz w:val="33"/>
                <w:szCs w:val="33"/>
              </w:rPr>
              <w:t xml:space="preserve">4.8×</w:t>
            </w:r>
          </w:p>
          <w:p>
            <w:r>
              <w:rPr>
                <w:rFonts w:ascii="Calibri" w:cs="Calibri" w:eastAsia="Calibri" w:hAnsi="Calibri"/>
                <w:color w:val="9FB0CC"/>
                <w:spacing w:val="3"/>
                <w:sz w:val="12"/>
                <w:szCs w:val="12"/>
              </w:rPr>
              <w:t xml:space="preserve">BLENDED ROAS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DDE6F7" w:sz="3"/>
              <w:left w:val="single" w:color="DDE6F7" w:sz="3"/>
              <w:bottom w:val="single" w:color="DDE6F7" w:sz="3"/>
              <w:right w:val="single" w:color="DDE6F7" w:sz="3"/>
            </w:tcBorders>
            <w:shd w:fill="F2F5FC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33"/>
                <w:szCs w:val="33"/>
              </w:rPr>
              <w:t xml:space="preserve">$38M</w:t>
            </w:r>
          </w:p>
          <w:p>
            <w:r>
              <w:rPr>
                <w:rFonts w:ascii="Calibri" w:cs="Calibri" w:eastAsia="Calibri" w:hAnsi="Calibri"/>
                <w:color w:val="7A8398"/>
                <w:spacing w:val="3"/>
                <w:sz w:val="12"/>
                <w:szCs w:val="12"/>
              </w:rPr>
              <w:t xml:space="preserve">AD SPEND MANAGED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DDE6F7" w:sz="3"/>
              <w:left w:val="single" w:color="DDE6F7" w:sz="3"/>
              <w:bottom w:val="single" w:color="DDE6F7" w:sz="3"/>
              <w:right w:val="single" w:color="DDE6F7" w:sz="3"/>
            </w:tcBorders>
            <w:shd w:fill="F2F5FC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33"/>
                <w:szCs w:val="33"/>
              </w:rPr>
              <w:t xml:space="preserve">−41%</w:t>
            </w:r>
          </w:p>
          <w:p>
            <w:r>
              <w:rPr>
                <w:rFonts w:ascii="Calibri" w:cs="Calibri" w:eastAsia="Calibri" w:hAnsi="Calibri"/>
                <w:color w:val="7A8398"/>
                <w:spacing w:val="3"/>
                <w:sz w:val="12"/>
                <w:szCs w:val="12"/>
              </w:rPr>
              <w:t xml:space="preserve">CPA REDUCED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DDE6F7" w:sz="3"/>
              <w:left w:val="single" w:color="DDE6F7" w:sz="3"/>
              <w:bottom w:val="single" w:color="DDE6F7" w:sz="3"/>
              <w:right w:val="single" w:color="DDE6F7" w:sz="3"/>
            </w:tcBorders>
            <w:shd w:fill="F2F5FC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33"/>
                <w:szCs w:val="33"/>
              </w:rPr>
              <w:t xml:space="preserve">+2.3M</w:t>
            </w:r>
          </w:p>
          <w:p>
            <w:r>
              <w:rPr>
                <w:rFonts w:ascii="Calibri" w:cs="Calibri" w:eastAsia="Calibri" w:hAnsi="Calibri"/>
                <w:color w:val="7A8398"/>
                <w:spacing w:val="3"/>
                <w:sz w:val="12"/>
                <w:szCs w:val="12"/>
              </w:rPr>
              <w:t xml:space="preserve">CONVERSIONS / YR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3B4252"/>
          <w:sz w:val="20"/>
          <w:szCs w:val="20"/>
        </w:rPr>
        <w:t xml:space="preserve">Data-driven performance marketer who turns ad budgets into profitable growth. I own paid acquisition end to end — strategy, creative testing, bidding, and attribution — scaling spend while driving CPA down. Eight years across paid search, social, and programmatic for DTC and B2B SaaS.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1F5FE0"/>
          <w:spacing w:val="24"/>
          <w:sz w:val="17"/>
          <w:szCs w:val="17"/>
        </w:rPr>
        <w:t xml:space="preserve">CHANNEL SCORECARD — 2024</w:t>
      </w:r>
    </w:p>
    <w:tbl>
      <w:tblPr>
        <w:tblW w:type="dxa" w:w="10680"/>
        <w:tblBorders>
          <w:top w:val="single" w:color="E2E8F4" w:sz="4"/>
          <w:left w:val="single" w:color="E2E8F4" w:sz="4"/>
          <w:bottom w:val="single" w:color="E2E8F4" w:sz="4"/>
          <w:right w:val="single" w:color="E2E8F4" w:sz="4"/>
          <w:insideH w:val="single" w:color="EEF2F9" w:sz="2"/>
          <w:insideV w:val="none"/>
        </w:tblBorders>
        <w:tblLayout w:type="fixed"/>
      </w:tblPr>
      <w:tblGrid>
        <w:gridCol w:w="3204"/>
        <w:gridCol w:w="1869"/>
        <w:gridCol w:w="1869"/>
        <w:gridCol w:w="1869"/>
        <w:gridCol w:w="1869"/>
      </w:tblGrid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5FC" w:color="auto" w:val="clear"/>
            <w:tcMar>
              <w:top w:type="dxa" w:w="90"/>
              <w:left w:type="dxa" w:w="16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CHANNEL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5FC" w:color="auto" w:val="clear"/>
            <w:tcMar>
              <w:top w:type="dxa" w:w="90"/>
              <w:left w:type="dxa" w:w="60"/>
              <w:bottom w:type="dxa" w:w="9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SPEND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5FC" w:color="auto" w:val="clear"/>
            <w:tcMar>
              <w:top w:type="dxa" w:w="90"/>
              <w:left w:type="dxa" w:w="60"/>
              <w:bottom w:type="dxa" w:w="9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ROAS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5FC" w:color="auto" w:val="clear"/>
            <w:tcMar>
              <w:top w:type="dxa" w:w="90"/>
              <w:left w:type="dxa" w:w="60"/>
              <w:bottom w:type="dxa" w:w="9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CPA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5FC" w:color="auto" w:val="clear"/>
            <w:tcMar>
              <w:top w:type="dxa" w:w="90"/>
              <w:left w:type="dxa" w:w="60"/>
              <w:bottom w:type="dxa" w:w="9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CONV.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Paid Search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$14.2M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19"/>
                <w:szCs w:val="19"/>
              </w:rPr>
              <w:t xml:space="preserve">5.6×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$42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980K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Paid Social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$11.8M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19"/>
                <w:szCs w:val="19"/>
              </w:rPr>
              <w:t xml:space="preserve">4.3×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$51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720K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Programmatic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$7.4M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19"/>
                <w:szCs w:val="19"/>
              </w:rPr>
              <w:t xml:space="preserve">3.9×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$58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410K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Retargeting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$4.6M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19"/>
                <w:szCs w:val="19"/>
              </w:rPr>
              <w:t xml:space="preserve">7.1×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$29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230K</w:t>
            </w:r>
          </w:p>
        </w:tc>
      </w:tr>
    </w:tbl>
    <w:p>
      <w:pPr>
        <w:spacing w:after="140" w:before="300"/>
      </w:pPr>
      <w:r>
        <w:rPr>
          <w:rFonts w:ascii="Calibri" w:cs="Calibri" w:eastAsia="Calibri" w:hAnsi="Calibri"/>
          <w:b/>
          <w:bCs/>
          <w:color w:val="1F5FE0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B28"/>
                <w:sz w:val="20"/>
                <w:szCs w:val="20"/>
              </w:rPr>
              <w:t xml:space="preserve">Performance Marketing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1B0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5FE0"/>
          <w:sz w:val="18"/>
          <w:szCs w:val="18"/>
        </w:rPr>
        <w:t xml:space="preserve">Cuvée (DTC)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Own a $38M annual paid budget across search, social, and programmatic at a blended 4.8× ROAS.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Cut blended CPA 41% in 18 months through creative testing, audience segmentation, and bid automation.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Built an incrementality-testing framework that reallocated $6M to higher-return channels.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B28"/>
                <w:sz w:val="20"/>
                <w:szCs w:val="20"/>
              </w:rPr>
              <w:t xml:space="preserve">Paid Acquisition Specialist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1B0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5FE0"/>
          <w:sz w:val="18"/>
          <w:szCs w:val="18"/>
        </w:rPr>
        <w:t xml:space="preserve">Bumble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Scaled paid social spend from $2M to $11M while holding CPA flat.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Ran 200+ A/B creative tests a year, lifting CTR 34% on the best-performing concepts.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single" w:color="E7EBF3" w:sz="6"/>
              <w:left w:val="none"/>
              <w:bottom w:val="none"/>
              <w:right w:val="none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F5FE0"/>
                <w:spacing w:val="18"/>
                <w:sz w:val="17"/>
                <w:szCs w:val="17"/>
              </w:rPr>
              <w:t xml:space="preserve">PLATFORMS &amp; 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t xml:space="preserve">Google Ads · Meta Ads · TikTok Ads</w:t>
            </w: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br/>
              <w:t xml:space="preserve">GA4 · Looker · HubSpot</w:t>
            </w: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br/>
              <w:t xml:space="preserve">Triple Whale · SQL</w:t>
            </w:r>
          </w:p>
        </w:tc>
        <w:tc>
          <w:tcPr>
            <w:tcW w:type="dxa" w:w="5980"/>
            <w:tcBorders>
              <w:top w:val="single" w:color="E7EBF3" w:sz="6"/>
              <w:left w:val="none"/>
              <w:bottom w:val="none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F5FE0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t xml:space="preserve">B.B.A., Marketing</w:t>
            </w: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br/>
              <w:t xml:space="preserve">University of Texas at Austin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B425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2026-06-18T20:07:21.522Z</dcterms:created>
  <dcterms:modified xsi:type="dcterms:W3CDTF">2026-06-18T20:07:21.525Z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