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836"/>
        <w:gridCol w:w="3844"/>
      </w:tblGrid>
      <w:tr>
        <w:tc>
          <w:tcPr>
            <w:tcW w:type="dxa" w:w="68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46"/>
            </w:pPr>
            <w:r>
              <w:rPr>
                <w:rFonts w:ascii="Calibri" w:cs="Calibri" w:eastAsia="Calibri" w:hAnsi="Calibri"/>
                <w:b/>
                <w:bCs/>
                <w:color w:val="1E1933"/>
                <w:sz w:val="54"/>
                <w:szCs w:val="54"/>
              </w:rPr>
              <w:t xml:space="preserve">Aaron Whitfield</w:t>
            </w:r>
          </w:p>
          <w:p>
            <w:r>
              <w:rPr>
                <w:rFonts w:ascii="Calibri" w:cs="Calibri" w:eastAsia="Calibri" w:hAnsi="Calibri"/>
                <w:b/>
                <w:bCs/>
                <w:color w:val="5B3AA6"/>
                <w:spacing w:val="24"/>
                <w:sz w:val="18"/>
                <w:szCs w:val="18"/>
              </w:rPr>
              <w:t xml:space="preserve">PRODUCT MARKETING MANAGER</w:t>
            </w:r>
          </w:p>
        </w:tc>
        <w:tc>
          <w:tcPr>
            <w:tcW w:type="dxa" w:w="38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0"/>
              <w:right w:type="dxa" w:w="0"/>
            </w:tcMar>
            <w:vAlign w:val="top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t xml:space="preserve">San Francisco, CA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(415) 555-0125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a.whitfield@email.com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in/aaronwhitfield</w:t>
            </w:r>
          </w:p>
        </w:tc>
      </w:tr>
    </w:tbl>
    <w:p>
      <w:pPr>
        <w:spacing w:after="190"/>
      </w:pPr>
    </w:p>
    <w:p>
      <w:pPr>
        <w:shd w:fill="F4F1FB" w:color="auto" w:val="clear"/>
        <w:spacing w:after="0" w:before="0"/>
        <w:ind w:left="280" w:right="280"/>
      </w:pPr>
      <w:r>
        <w:rPr>
          <w:sz w:val="8"/>
          <w:szCs w:val="8"/>
        </w:rPr>
        <w:t xml:space="preserve"/>
      </w:r>
      <w:r>
        <w:rPr>
          <w:rFonts w:ascii="Calibri" w:cs="Calibri" w:eastAsia="Calibri" w:hAnsi="Calibri"/>
          <w:b/>
          <w:bCs/>
          <w:color w:val="5B3AA6"/>
          <w:spacing w:val="16"/>
          <w:sz w:val="14"/>
          <w:szCs w:val="14"/>
        </w:rPr>
        <w:br/>
        <w:t xml:space="preserve">POSITIONING</w:t>
      </w:r>
      <w:r>
        <w:rPr>
          <w:rFonts w:ascii="Calibri" w:cs="Calibri" w:eastAsia="Calibri" w:hAnsi="Calibri"/>
          <w:color w:val="2C2647"/>
          <w:sz w:val="20"/>
          <w:szCs w:val="20"/>
        </w:rPr>
        <w:br/>
        <w:t xml:space="preserve">Product marketer who sits at the center of product, sales, and customer — translating features into stories that move markets. I lead launches, sharpen positioning, and arm sales to win. Seven years taking B2B SaaS products from beta to category leader.</w:t>
      </w:r>
      <w:r>
        <w:rPr>
          <w:sz w:val="8"/>
          <w:szCs w:val="8"/>
        </w:rPr>
        <w:br/>
        <w:t xml:space="preserve"/>
      </w:r>
    </w:p>
    <w:p>
      <w:pPr>
        <w:spacing w:after="22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94"/>
        <w:gridCol w:w="300"/>
        <w:gridCol w:w="4186"/>
      </w:tblGrid>
      <w:tr>
        <w:tc>
          <w:tcPr>
            <w:tcW w:type="dxa" w:w="619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5B3AA6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5894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94"/>
              <w:gridCol w:w="1700"/>
            </w:tblGrid>
            <w:tr>
              <w:tc>
                <w:tcPr>
                  <w:tcW w:type="dxa" w:w="419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E1933"/>
                      <w:sz w:val="20"/>
                      <w:szCs w:val="20"/>
                    </w:rPr>
                    <w:t xml:space="preserve">Senior Product Marketing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B95AB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5B3AA6"/>
                <w:sz w:val="18"/>
                <w:szCs w:val="18"/>
              </w:rPr>
              <w:t xml:space="preserve">Notion — San Francisco,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656"/>
                <w:sz w:val="19"/>
                <w:szCs w:val="19"/>
              </w:rPr>
              <w:t xml:space="preserve">Led GTM for 6 major launches, including an AI suite that drove 1.2M activations in its first quarter.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656"/>
                <w:sz w:val="19"/>
                <w:szCs w:val="19"/>
              </w:rPr>
              <w:t xml:space="preserve">Rebuilt positioning and messaging that lifted sales win rate 14 points against key competitors.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656"/>
                <w:sz w:val="19"/>
                <w:szCs w:val="19"/>
              </w:rPr>
              <w:t xml:space="preserve">Run win/loss and competitive intel programs informing roadmap and pricing decisions.</w:t>
            </w:r>
          </w:p>
          <w:p>
            <w:pPr>
              <w:spacing w:after="110"/>
            </w:pPr>
          </w:p>
          <w:tbl>
            <w:tblPr>
              <w:tblW w:type="dxa" w:w="5894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94"/>
              <w:gridCol w:w="1700"/>
            </w:tblGrid>
            <w:tr>
              <w:tc>
                <w:tcPr>
                  <w:tcW w:type="dxa" w:w="419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E1933"/>
                      <w:sz w:val="20"/>
                      <w:szCs w:val="20"/>
                    </w:rPr>
                    <w:t xml:space="preserve">Product Marketing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B95AB"/>
                      <w:sz w:val="17"/>
                      <w:szCs w:val="17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5B3AA6"/>
                <w:sz w:val="18"/>
                <w:szCs w:val="18"/>
              </w:rPr>
              <w:t xml:space="preserve">Airtable — San Francisco,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656"/>
                <w:sz w:val="19"/>
                <w:szCs w:val="19"/>
              </w:rPr>
              <w:t xml:space="preserve">Owned messaging and enablement for the enterprise tier, contributing to 60% ARR growth.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656"/>
                <w:sz w:val="19"/>
                <w:szCs w:val="19"/>
              </w:rPr>
              <w:t xml:space="preserve">Created the sales playbook and demo narrative adopted by 80+ reps.</w:t>
            </w:r>
          </w:p>
          <w:p>
            <w:pPr>
              <w:spacing w:after="110"/>
            </w:pPr>
          </w:p>
          <w:tbl>
            <w:tblPr>
              <w:tblW w:type="dxa" w:w="5894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94"/>
              <w:gridCol w:w="1700"/>
            </w:tblGrid>
            <w:tr>
              <w:tc>
                <w:tcPr>
                  <w:tcW w:type="dxa" w:w="419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E1933"/>
                      <w:sz w:val="20"/>
                      <w:szCs w:val="20"/>
                    </w:rPr>
                    <w:t xml:space="preserve">Marketing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B95AB"/>
                      <w:sz w:val="17"/>
                      <w:szCs w:val="17"/>
                    </w:rPr>
                    <w:t xml:space="preserve">2016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5B3AA6"/>
                <w:sz w:val="18"/>
                <w:szCs w:val="18"/>
              </w:rPr>
              <w:t xml:space="preserve">Zendesk — San Francisco,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656"/>
                <w:sz w:val="19"/>
                <w:szCs w:val="19"/>
              </w:rPr>
              <w:t xml:space="preserve">Launched two add-on products and built the analyst-relations program.</w:t>
            </w:r>
          </w:p>
          <w:p>
            <w:pPr>
              <w:spacing w:after="0"/>
            </w:pP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1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20" w:before="0"/>
            </w:pPr>
            <w:r>
              <w:rPr>
                <w:rFonts w:ascii="Calibri" w:cs="Calibri" w:eastAsia="Calibri" w:hAnsi="Calibri"/>
                <w:b/>
                <w:bCs/>
                <w:color w:val="5B3AA6"/>
                <w:spacing w:val="24"/>
                <w:sz w:val="17"/>
                <w:szCs w:val="17"/>
              </w:rPr>
              <w:t xml:space="preserve">LAUNCH CADENCE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5B3AA6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5B3AA6"/>
                <w:sz w:val="17"/>
                <w:szCs w:val="17"/>
              </w:rPr>
              <w:t xml:space="preserve">Tier 1 · AI Suite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3D3656"/>
                <w:sz w:val="17"/>
                <w:szCs w:val="17"/>
              </w:rPr>
              <w:t xml:space="preserve">1.2M activations in Q1 — biggest launch in company history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5B3AA6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5B3AA6"/>
                <w:sz w:val="17"/>
                <w:szCs w:val="17"/>
              </w:rPr>
              <w:t xml:space="preserve">Tier 1 · Enterprise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3D3656"/>
                <w:sz w:val="17"/>
                <w:szCs w:val="17"/>
              </w:rPr>
              <w:t xml:space="preserve">New tier driving 28% of net-new ARR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5B3AA6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5B3AA6"/>
                <w:sz w:val="17"/>
                <w:szCs w:val="17"/>
              </w:rPr>
              <w:t xml:space="preserve">Tier 2 · Integrations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3D3656"/>
                <w:sz w:val="17"/>
                <w:szCs w:val="17"/>
              </w:rPr>
              <w:t xml:space="preserve">40+ partner launches in 18 months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5B3AA6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5B3AA6"/>
                <w:sz w:val="17"/>
                <w:szCs w:val="17"/>
              </w:rPr>
              <w:t xml:space="preserve">Tier 2 · Mobile</w:t>
            </w:r>
          </w:p>
          <w:p>
            <w:pPr>
              <w:spacing w:after="0"/>
              <w:ind w:left="200"/>
            </w:pPr>
            <w:r>
              <w:rPr>
                <w:rFonts w:ascii="Calibri" w:cs="Calibri" w:eastAsia="Calibri" w:hAnsi="Calibri"/>
                <w:color w:val="3D3656"/>
                <w:sz w:val="17"/>
                <w:szCs w:val="17"/>
              </w:rPr>
              <w:t xml:space="preserve">Relaunch lifting app adoption 35%</w:t>
            </w:r>
          </w:p>
          <w:p>
            <w:pPr>
              <w:spacing w:after="160"/>
            </w:pPr>
          </w:p>
          <w:p>
            <w:pPr>
              <w:shd w:fill="5B3AA6" w:color="auto" w:val="clear"/>
              <w:spacing w:after="0"/>
              <w:ind w:left="200" w:right="200"/>
            </w:pPr>
            <w:r>
              <w:rPr>
                <w:sz w:val="10"/>
                <w:szCs w:val="10"/>
              </w:rPr>
              <w:t xml:space="preserve"/>
            </w:r>
          </w:p>
          <w:p>
            <w:pPr>
              <w:shd w:fill="5B3AA6" w:color="auto" w:val="clear"/>
              <w:spacing w:after="0"/>
              <w:ind w:left="200" w:right="2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t xml:space="preserve">+14 pts</w:t>
            </w:r>
          </w:p>
          <w:p>
            <w:pPr>
              <w:shd w:fill="5B3AA6" w:color="auto" w:val="clear"/>
              <w:spacing w:after="0"/>
              <w:ind w:left="200" w:right="200"/>
            </w:pPr>
            <w:r>
              <w:rPr>
                <w:rFonts w:ascii="Calibri" w:cs="Calibri" w:eastAsia="Calibri" w:hAnsi="Calibri"/>
                <w:color w:val="CDBEF0"/>
                <w:spacing w:val="3"/>
                <w:sz w:val="12"/>
                <w:szCs w:val="12"/>
              </w:rPr>
              <w:t xml:space="preserve">WIN-RATE LIFT</w:t>
            </w:r>
          </w:p>
          <w:p>
            <w:pPr>
              <w:shd w:fill="5B3AA6" w:color="auto" w:val="clear"/>
              <w:spacing w:after="0" w:line="120" w:lineRule="exact"/>
              <w:ind w:left="200" w:right="200"/>
            </w:pPr>
            <w:r>
              <w:rPr>
                <w:sz w:val="6"/>
                <w:szCs w:val="6"/>
              </w:rPr>
              <w:t xml:space="preserve"/>
            </w:r>
          </w:p>
          <w:p>
            <w:pPr>
              <w:shd w:fill="5B3AA6" w:color="auto" w:val="clear"/>
              <w:spacing w:after="0"/>
              <w:ind w:left="200" w:right="2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t xml:space="preserve">12</w:t>
            </w:r>
          </w:p>
          <w:p>
            <w:pPr>
              <w:shd w:fill="5B3AA6" w:color="auto" w:val="clear"/>
              <w:spacing w:after="0"/>
              <w:ind w:left="200" w:right="200"/>
            </w:pPr>
            <w:r>
              <w:rPr>
                <w:rFonts w:ascii="Calibri" w:cs="Calibri" w:eastAsia="Calibri" w:hAnsi="Calibri"/>
                <w:color w:val="CDBEF0"/>
                <w:spacing w:val="3"/>
                <w:sz w:val="12"/>
                <w:szCs w:val="12"/>
              </w:rPr>
              <w:t xml:space="preserve">LAUNCHES LED</w:t>
            </w:r>
          </w:p>
          <w:p>
            <w:pPr>
              <w:shd w:fill="5B3AA6" w:color="auto" w:val="clear"/>
              <w:spacing w:after="0" w:line="120" w:lineRule="exact"/>
              <w:ind w:left="200" w:right="200"/>
            </w:pPr>
            <w:r>
              <w:rPr>
                <w:sz w:val="6"/>
                <w:szCs w:val="6"/>
              </w:rPr>
              <w:t xml:space="preserve"/>
            </w:r>
          </w:p>
          <w:p>
            <w:pPr>
              <w:spacing w:after="90" w:before="170"/>
            </w:pPr>
            <w:r>
              <w:rPr>
                <w:rFonts w:ascii="Calibri" w:cs="Calibri" w:eastAsia="Calibri" w:hAnsi="Calibri"/>
                <w:b/>
                <w:bCs/>
                <w:color w:val="5B3AA6"/>
                <w:spacing w:val="18"/>
                <w:sz w:val="17"/>
                <w:szCs w:val="17"/>
              </w:rPr>
              <w:t xml:space="preserve">TOOLS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D3656"/>
                <w:sz w:val="18"/>
                <w:szCs w:val="18"/>
              </w:rPr>
              <w:t xml:space="preserve">Productboard · Gong · Highspot · Pendo · Figma · HubSpot</w:t>
            </w:r>
          </w:p>
          <w:p>
            <w:pPr>
              <w:spacing w:after="60" w:before="170"/>
            </w:pPr>
            <w:r>
              <w:rPr>
                <w:rFonts w:ascii="Calibri" w:cs="Calibri" w:eastAsia="Calibri" w:hAnsi="Calibri"/>
                <w:b/>
                <w:bCs/>
                <w:color w:val="5B3AA6"/>
                <w:spacing w:val="18"/>
                <w:sz w:val="17"/>
                <w:szCs w:val="17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E1933"/>
                <w:sz w:val="18"/>
                <w:szCs w:val="18"/>
              </w:rPr>
              <w:t xml:space="preserve">MBA, Marketing</w:t>
            </w:r>
            <w:r>
              <w:rPr>
                <w:rFonts w:ascii="Calibri" w:cs="Calibri" w:eastAsia="Calibri" w:hAnsi="Calibri"/>
                <w:color w:val="736C85"/>
                <w:sz w:val="17"/>
                <w:szCs w:val="17"/>
              </w:rPr>
              <w:br/>
              <w:t xml:space="preserve">Northwestern (Kellogg)</w:t>
            </w:r>
          </w:p>
        </w:tc>
      </w:tr>
    </w:tbl>
    <w:sectPr>
      <w:pgSz w:w="12240" w:h="15840" w:orient="portrait"/>
      <w:pgMar w:top="720" w:right="780" w:bottom="70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D3656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2026-06-18T20:07:21.606Z</dcterms:created>
  <dcterms:modified xsi:type="dcterms:W3CDTF">2026-06-18T20:07:21.606Z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