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60"/>
        <w:gridCol w:w="3060"/>
        <w:gridCol w:w="3060"/>
        <w:gridCol w:w="3060"/>
      </w:tblGrid>
      <w:tr>
        <w:tc>
          <w:tcPr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32B27" w:color="auto" w:val="clear"/>
            <w:tcMar>
              <w:top w:type="dxa" w:w="440"/>
              <w:left w:type="dxa" w:w="600"/>
              <w:bottom w:type="dxa" w:w="120"/>
              <w:right w:type="dxa" w:w="0"/>
            </w:tcMar>
            <w:vAlign w:val="bottom"/>
          </w:tcPr>
          <w:p>
            <w:pPr>
              <w:spacing w:after="50"/>
            </w:pPr>
            <w:r>
              <w:rPr>
                <w:rFonts w:ascii="Consolas" w:cs="Consolas" w:eastAsia="Consolas" w:hAnsi="Consolas"/>
                <w:b/>
                <w:bCs/>
                <w:color w:val="46A85C"/>
                <w:spacing w:val="18"/>
                <w:sz w:val="17"/>
                <w:szCs w:val="17"/>
              </w:rPr>
              <w:t xml:space="preserve">MANUFACTURING &amp; PROCESS ENGINEER</w:t>
            </w:r>
          </w:p>
          <w:p>
            <w:r>
              <w:rPr>
                <w:rFonts w:ascii="Calibri" w:cs="Calibri" w:eastAsia="Calibri" w:hAnsi="Calibri"/>
                <w:b/>
                <w:bCs/>
                <w:color w:val="FFFFFF"/>
                <w:sz w:val="57"/>
                <w:szCs w:val="57"/>
              </w:rPr>
              <w:t xml:space="preserve">Carla Jimenez</w:t>
            </w:r>
          </w:p>
        </w:tc>
        <w:tc>
          <w:tcPr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32B27" w:color="auto" w:val="clear"/>
            <w:tcMar>
              <w:top w:type="dxa" w:w="440"/>
              <w:left w:type="dxa" w:w="0"/>
              <w:bottom w:type="dxa" w:w="150"/>
              <w:right w:type="dxa" w:w="600"/>
            </w:tcMar>
            <w:vAlign w:val="bottom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color w:val="AAB0B7"/>
                <w:sz w:val="15"/>
                <w:szCs w:val="15"/>
              </w:rPr>
              <w:t xml:space="preserve">Greenville, SC</w:t>
            </w:r>
            <w:r>
              <w:rPr>
                <w:rFonts w:ascii="Consolas" w:cs="Consolas" w:eastAsia="Consolas" w:hAnsi="Consolas"/>
                <w:color w:val="AAB0B7"/>
                <w:sz w:val="15"/>
                <w:szCs w:val="15"/>
              </w:rPr>
              <w:br/>
              <w:t xml:space="preserve">(864) 555-0173</w:t>
            </w:r>
            <w:r>
              <w:rPr>
                <w:sz w:val="2"/>
                <w:szCs w:val="2"/>
              </w:rPr>
              <w:br/>
              <w:t xml:space="preserve"/>
            </w:r>
            <w:hyperlink w:history="1" r:id="rIdhyfeo4auwe4itp9dmleak">
              <w:r>
                <w:rPr>
                  <w:rFonts w:ascii="Consolas" w:cs="Consolas" w:eastAsia="Consolas" w:hAnsi="Consolas"/>
                  <w:color w:val="FFFFFF"/>
                  <w:sz w:val="15"/>
                  <w:szCs w:val="15"/>
                  <w:u w:val="single"/>
                </w:rPr>
                <w:t xml:space="preserve">c.jimenez@email.com</w:t>
              </w:r>
            </w:hyperlink>
            <w:r>
              <w:rPr>
                <w:rFonts w:ascii="Consolas" w:cs="Consolas" w:eastAsia="Consolas" w:hAnsi="Consolas"/>
                <w:color w:val="AAB0B7"/>
                <w:sz w:val="15"/>
                <w:szCs w:val="15"/>
              </w:rPr>
              <w:br/>
              <w:t xml:space="preserve">in/carlajimenez</w:t>
            </w:r>
          </w:p>
        </w:tc>
      </w:tr>
      <w:tr>
        <w:tc>
          <w:tcPr>
            <w:tcW w:type="dxa" w:w="3060"/>
            <w:tcBorders>
              <w:top w:val="single" w:color="44494F" w:sz="4"/>
              <w:left w:val="none"/>
              <w:bottom w:val="none"/>
              <w:right w:val="none"/>
            </w:tcBorders>
            <w:shd w:fill="232B27" w:color="auto" w:val="clear"/>
            <w:tcMar>
              <w:top w:type="dxa" w:w="190"/>
              <w:left w:type="dxa" w:w="600"/>
              <w:bottom w:type="dxa" w:w="360"/>
              <w:right w:type="dxa" w:w="60"/>
            </w:tcMar>
            <w:vAlign w:val="top"/>
          </w:tcPr>
          <w:p>
            <w:pPr>
              <w:spacing w:after="30"/>
            </w:pPr>
            <w:r>
              <w:rPr>
                <w:rFonts w:ascii="Consolas" w:cs="Consolas" w:eastAsia="Consolas" w:hAnsi="Consolas"/>
                <w:b/>
                <w:bCs/>
                <w:color w:val="46A85C"/>
                <w:sz w:val="32"/>
                <w:szCs w:val="32"/>
              </w:rPr>
              <w:t xml:space="preserve">−42%</w:t>
            </w:r>
          </w:p>
          <w:p>
            <w:r>
              <w:rPr>
                <w:rFonts w:ascii="Consolas" w:cs="Consolas" w:eastAsia="Consolas" w:hAnsi="Consolas"/>
                <w:color w:val="AAB0B7"/>
                <w:spacing w:val="4"/>
                <w:sz w:val="12"/>
                <w:szCs w:val="12"/>
              </w:rPr>
              <w:t xml:space="preserve">CYCLE TIME</w:t>
            </w:r>
          </w:p>
        </w:tc>
        <w:tc>
          <w:tcPr>
            <w:tcW w:type="dxa" w:w="3060"/>
            <w:tcBorders>
              <w:top w:val="single" w:color="44494F" w:sz="4"/>
              <w:left w:val="none"/>
              <w:bottom w:val="none"/>
              <w:right w:val="none"/>
            </w:tcBorders>
            <w:shd w:fill="232B27" w:color="auto" w:val="clear"/>
            <w:tcMar>
              <w:top w:type="dxa" w:w="190"/>
              <w:left w:type="dxa" w:w="60"/>
              <w:bottom w:type="dxa" w:w="360"/>
              <w:right w:type="dxa" w:w="60"/>
            </w:tcMar>
            <w:vAlign w:val="top"/>
          </w:tcPr>
          <w:p>
            <w:pPr>
              <w:spacing w:after="30"/>
            </w:pPr>
            <w:r>
              <w:rPr>
                <w:rFonts w:ascii="Consolas" w:cs="Consolas" w:eastAsia="Consolas" w:hAnsi="Consolas"/>
                <w:b/>
                <w:bCs/>
                <w:color w:val="46A85C"/>
                <w:sz w:val="32"/>
                <w:szCs w:val="32"/>
              </w:rPr>
              <w:t xml:space="preserve">+9 pts</w:t>
            </w:r>
          </w:p>
          <w:p>
            <w:r>
              <w:rPr>
                <w:rFonts w:ascii="Consolas" w:cs="Consolas" w:eastAsia="Consolas" w:hAnsi="Consolas"/>
                <w:color w:val="AAB0B7"/>
                <w:spacing w:val="4"/>
                <w:sz w:val="12"/>
                <w:szCs w:val="12"/>
              </w:rPr>
              <w:t xml:space="preserve">FIRST-PASS YIELD</w:t>
            </w:r>
          </w:p>
        </w:tc>
        <w:tc>
          <w:tcPr>
            <w:tcW w:type="dxa" w:w="3060"/>
            <w:tcBorders>
              <w:top w:val="single" w:color="44494F" w:sz="4"/>
              <w:left w:val="none"/>
              <w:bottom w:val="none"/>
              <w:right w:val="none"/>
            </w:tcBorders>
            <w:shd w:fill="232B27" w:color="auto" w:val="clear"/>
            <w:tcMar>
              <w:top w:type="dxa" w:w="190"/>
              <w:left w:type="dxa" w:w="60"/>
              <w:bottom w:type="dxa" w:w="360"/>
              <w:right w:type="dxa" w:w="60"/>
            </w:tcMar>
            <w:vAlign w:val="top"/>
          </w:tcPr>
          <w:p>
            <w:pPr>
              <w:spacing w:after="30"/>
            </w:pPr>
            <w:r>
              <w:rPr>
                <w:rFonts w:ascii="Consolas" w:cs="Consolas" w:eastAsia="Consolas" w:hAnsi="Consolas"/>
                <w:b/>
                <w:bCs/>
                <w:color w:val="46A85C"/>
                <w:sz w:val="32"/>
                <w:szCs w:val="32"/>
              </w:rPr>
              <w:t xml:space="preserve">$3.6M</w:t>
            </w:r>
          </w:p>
          <w:p>
            <w:r>
              <w:rPr>
                <w:rFonts w:ascii="Consolas" w:cs="Consolas" w:eastAsia="Consolas" w:hAnsi="Consolas"/>
                <w:color w:val="AAB0B7"/>
                <w:spacing w:val="4"/>
                <w:sz w:val="12"/>
                <w:szCs w:val="12"/>
              </w:rPr>
              <w:t xml:space="preserve">COST SAVED</w:t>
            </w:r>
          </w:p>
        </w:tc>
        <w:tc>
          <w:tcPr>
            <w:tcW w:type="dxa" w:w="3060"/>
            <w:tcBorders>
              <w:top w:val="single" w:color="44494F" w:sz="4"/>
              <w:left w:val="none"/>
              <w:bottom w:val="none"/>
              <w:right w:val="none"/>
            </w:tcBorders>
            <w:shd w:fill="232B27" w:color="auto" w:val="clear"/>
            <w:tcMar>
              <w:top w:type="dxa" w:w="190"/>
              <w:left w:type="dxa" w:w="60"/>
              <w:bottom w:type="dxa" w:w="360"/>
              <w:right w:type="dxa" w:w="60"/>
            </w:tcMar>
            <w:vAlign w:val="top"/>
          </w:tcPr>
          <w:p>
            <w:pPr>
              <w:spacing w:after="30"/>
            </w:pPr>
            <w:r>
              <w:rPr>
                <w:rFonts w:ascii="Consolas" w:cs="Consolas" w:eastAsia="Consolas" w:hAnsi="Consolas"/>
                <w:b/>
                <w:bCs/>
                <w:color w:val="46A85C"/>
                <w:sz w:val="32"/>
                <w:szCs w:val="32"/>
              </w:rPr>
              <w:t xml:space="preserve">BB</w:t>
            </w:r>
          </w:p>
          <w:p>
            <w:r>
              <w:rPr>
                <w:rFonts w:ascii="Consolas" w:cs="Consolas" w:eastAsia="Consolas" w:hAnsi="Consolas"/>
                <w:color w:val="AAB0B7"/>
                <w:spacing w:val="4"/>
                <w:sz w:val="12"/>
                <w:szCs w:val="12"/>
              </w:rPr>
              <w:t xml:space="preserve">SIX SIGMA</w:t>
            </w:r>
          </w:p>
        </w:tc>
      </w:tr>
    </w:tbl>
    <w:p>
      <w:pPr>
        <w:spacing w:after="200" w:before="300"/>
        <w:ind w:left="600" w:right="600"/>
      </w:pPr>
      <w:r>
        <w:rPr>
          <w:rFonts w:ascii="Calibri" w:cs="Calibri" w:eastAsia="Calibri" w:hAnsi="Calibri"/>
          <w:color w:val="3A3F45"/>
          <w:sz w:val="20"/>
          <w:szCs w:val="20"/>
        </w:rPr>
        <w:t xml:space="preserve">Manufacturing engineer who makes the line faster, cheaper, and more reliable. Eight years applying Lean and Six Sigma to high-volume production — eliminating waste, ramping new lines, and holding the gains with standard work. Certified Black Belt with a bias for the shop floor.</w:t>
      </w:r>
    </w:p>
    <w:p>
      <w:pPr>
        <w:spacing w:after="120" w:before="0"/>
        <w:ind w:left="600" w:right="600"/>
      </w:pPr>
      <w:r>
        <w:rPr>
          <w:rFonts w:ascii="Consolas" w:cs="Consolas" w:eastAsia="Consolas" w:hAnsi="Consolas"/>
          <w:b/>
          <w:bCs/>
          <w:color w:val="2E7340"/>
          <w:spacing w:val="20"/>
          <w:sz w:val="17"/>
          <w:szCs w:val="17"/>
        </w:rPr>
        <w:t xml:space="preserve">PROCESS IMPROVEMENTS — LINE 4</w:t>
      </w:r>
    </w:p>
    <w:tbl>
      <w:tblPr>
        <w:tblW w:type="dxa" w:w="11040"/>
        <w:tblInd w:type="dxa" w:w="600"/>
        <w:tblBorders>
          <w:top w:val="single" w:color="E0D6CC" w:sz="4"/>
          <w:left w:val="single" w:color="E0D6CC" w:sz="4"/>
          <w:bottom w:val="single" w:color="E0D6CC" w:sz="4"/>
          <w:right w:val="single" w:color="E0D6CC" w:sz="4"/>
          <w:insideH w:val="none"/>
          <w:insideV w:val="none"/>
        </w:tblBorders>
        <w:tblLayout w:type="fixed"/>
      </w:tblPr>
      <w:tblGrid>
        <w:gridCol w:w="4416"/>
        <w:gridCol w:w="2208"/>
        <w:gridCol w:w="2208"/>
        <w:gridCol w:w="2208"/>
      </w:tblGrid>
      <w:tr>
        <w:tc>
          <w:tcPr>
            <w:tcW w:type="dxa" w:w="441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32B27" w:color="auto" w:val="clear"/>
            <w:tcMar>
              <w:top w:type="dxa" w:w="80"/>
              <w:left w:type="dxa" w:w="160"/>
              <w:bottom w:type="dxa" w:w="8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onsolas" w:cs="Consolas" w:eastAsia="Consolas" w:hAnsi="Consolas"/>
                <w:b/>
                <w:bCs/>
                <w:color w:val="FFFFFF"/>
                <w:spacing w:val="5"/>
                <w:sz w:val="12"/>
                <w:szCs w:val="12"/>
              </w:rPr>
              <w:t xml:space="preserve">METRIC</w:t>
            </w:r>
          </w:p>
        </w:tc>
        <w:tc>
          <w:tcPr>
            <w:tcW w:type="dxa" w:w="220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32B27" w:color="auto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FFFFFF"/>
                <w:spacing w:val="5"/>
                <w:sz w:val="12"/>
                <w:szCs w:val="12"/>
              </w:rPr>
              <w:t xml:space="preserve">BEFORE</w:t>
            </w:r>
          </w:p>
        </w:tc>
        <w:tc>
          <w:tcPr>
            <w:tcW w:type="dxa" w:w="220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32B27" w:color="auto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FFFFFF"/>
                <w:spacing w:val="5"/>
                <w:sz w:val="12"/>
                <w:szCs w:val="12"/>
              </w:rPr>
              <w:t xml:space="preserve">AFTER</w:t>
            </w:r>
          </w:p>
        </w:tc>
        <w:tc>
          <w:tcPr>
            <w:tcW w:type="dxa" w:w="220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32B27" w:color="auto" w:val="clear"/>
            <w:tcMar>
              <w:top w:type="dxa" w:w="80"/>
              <w:left w:type="dxa" w:w="60"/>
              <w:bottom w:type="dxa" w:w="80"/>
              <w:right w:type="dxa" w:w="160"/>
            </w:tcMar>
            <w:vAlign w:val="center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FFFFFF"/>
                <w:spacing w:val="5"/>
                <w:sz w:val="12"/>
                <w:szCs w:val="12"/>
              </w:rPr>
              <w:t xml:space="preserve">Δ</w:t>
            </w:r>
          </w:p>
        </w:tc>
      </w:tr>
      <w:tr>
        <w:tc>
          <w:tcPr>
            <w:tcW w:type="dxa" w:w="441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5"/>
              <w:left w:type="dxa" w:w="160"/>
              <w:bottom w:type="dxa" w:w="85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2B3138"/>
                <w:sz w:val="17"/>
                <w:szCs w:val="17"/>
              </w:rPr>
              <w:t xml:space="preserve">Cycle Time (s)</w:t>
            </w:r>
          </w:p>
        </w:tc>
        <w:tc>
          <w:tcPr>
            <w:tcW w:type="dxa" w:w="220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5"/>
              <w:left w:type="dxa" w:w="60"/>
              <w:bottom w:type="dxa" w:w="85"/>
              <w:right w:type="dxa" w:w="60"/>
            </w:tcMar>
            <w:vAlign w:val="center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 w:val="false"/>
                <w:bCs w:val="false"/>
                <w:color w:val="2B3138"/>
                <w:sz w:val="17"/>
                <w:szCs w:val="17"/>
              </w:rPr>
              <w:t xml:space="preserve">86</w:t>
            </w:r>
          </w:p>
        </w:tc>
        <w:tc>
          <w:tcPr>
            <w:tcW w:type="dxa" w:w="220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5"/>
              <w:left w:type="dxa" w:w="60"/>
              <w:bottom w:type="dxa" w:w="85"/>
              <w:right w:type="dxa" w:w="60"/>
            </w:tcMar>
            <w:vAlign w:val="center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 w:val="false"/>
                <w:bCs w:val="false"/>
                <w:color w:val="2B3138"/>
                <w:sz w:val="17"/>
                <w:szCs w:val="17"/>
              </w:rPr>
              <w:t xml:space="preserve">50</w:t>
            </w:r>
          </w:p>
        </w:tc>
        <w:tc>
          <w:tcPr>
            <w:tcW w:type="dxa" w:w="220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5"/>
              <w:left w:type="dxa" w:w="60"/>
              <w:bottom w:type="dxa" w:w="85"/>
              <w:right w:type="dxa" w:w="160"/>
            </w:tcMar>
            <w:vAlign w:val="center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15803D"/>
                <w:sz w:val="17"/>
                <w:szCs w:val="17"/>
              </w:rPr>
              <w:t xml:space="preserve">−42%</w:t>
            </w:r>
          </w:p>
        </w:tc>
      </w:tr>
      <w:tr>
        <w:tc>
          <w:tcPr>
            <w:tcW w:type="dxa" w:w="441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AF6F2" w:color="auto" w:val="clear"/>
            <w:tcMar>
              <w:top w:type="dxa" w:w="85"/>
              <w:left w:type="dxa" w:w="160"/>
              <w:bottom w:type="dxa" w:w="85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2B3138"/>
                <w:sz w:val="17"/>
                <w:szCs w:val="17"/>
              </w:rPr>
              <w:t xml:space="preserve">First-Pass Yield</w:t>
            </w:r>
          </w:p>
        </w:tc>
        <w:tc>
          <w:tcPr>
            <w:tcW w:type="dxa" w:w="220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AF6F2" w:color="auto" w:val="clear"/>
            <w:tcMar>
              <w:top w:type="dxa" w:w="85"/>
              <w:left w:type="dxa" w:w="60"/>
              <w:bottom w:type="dxa" w:w="85"/>
              <w:right w:type="dxa" w:w="60"/>
            </w:tcMar>
            <w:vAlign w:val="center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 w:val="false"/>
                <w:bCs w:val="false"/>
                <w:color w:val="2B3138"/>
                <w:sz w:val="17"/>
                <w:szCs w:val="17"/>
              </w:rPr>
              <w:t xml:space="preserve">88%</w:t>
            </w:r>
          </w:p>
        </w:tc>
        <w:tc>
          <w:tcPr>
            <w:tcW w:type="dxa" w:w="220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AF6F2" w:color="auto" w:val="clear"/>
            <w:tcMar>
              <w:top w:type="dxa" w:w="85"/>
              <w:left w:type="dxa" w:w="60"/>
              <w:bottom w:type="dxa" w:w="85"/>
              <w:right w:type="dxa" w:w="60"/>
            </w:tcMar>
            <w:vAlign w:val="center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 w:val="false"/>
                <w:bCs w:val="false"/>
                <w:color w:val="2B3138"/>
                <w:sz w:val="17"/>
                <w:szCs w:val="17"/>
              </w:rPr>
              <w:t xml:space="preserve">97%</w:t>
            </w:r>
          </w:p>
        </w:tc>
        <w:tc>
          <w:tcPr>
            <w:tcW w:type="dxa" w:w="220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AF6F2" w:color="auto" w:val="clear"/>
            <w:tcMar>
              <w:top w:type="dxa" w:w="85"/>
              <w:left w:type="dxa" w:w="60"/>
              <w:bottom w:type="dxa" w:w="85"/>
              <w:right w:type="dxa" w:w="160"/>
            </w:tcMar>
            <w:vAlign w:val="center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15803D"/>
                <w:sz w:val="17"/>
                <w:szCs w:val="17"/>
              </w:rPr>
              <w:t xml:space="preserve">+9 pts</w:t>
            </w:r>
          </w:p>
        </w:tc>
      </w:tr>
      <w:tr>
        <w:tc>
          <w:tcPr>
            <w:tcW w:type="dxa" w:w="441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5"/>
              <w:left w:type="dxa" w:w="160"/>
              <w:bottom w:type="dxa" w:w="85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2B3138"/>
                <w:sz w:val="17"/>
                <w:szCs w:val="17"/>
              </w:rPr>
              <w:t xml:space="preserve">Scrap Rate</w:t>
            </w:r>
          </w:p>
        </w:tc>
        <w:tc>
          <w:tcPr>
            <w:tcW w:type="dxa" w:w="220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5"/>
              <w:left w:type="dxa" w:w="60"/>
              <w:bottom w:type="dxa" w:w="85"/>
              <w:right w:type="dxa" w:w="60"/>
            </w:tcMar>
            <w:vAlign w:val="center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 w:val="false"/>
                <w:bCs w:val="false"/>
                <w:color w:val="2B3138"/>
                <w:sz w:val="17"/>
                <w:szCs w:val="17"/>
              </w:rPr>
              <w:t xml:space="preserve">6.2%</w:t>
            </w:r>
          </w:p>
        </w:tc>
        <w:tc>
          <w:tcPr>
            <w:tcW w:type="dxa" w:w="220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5"/>
              <w:left w:type="dxa" w:w="60"/>
              <w:bottom w:type="dxa" w:w="85"/>
              <w:right w:type="dxa" w:w="60"/>
            </w:tcMar>
            <w:vAlign w:val="center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 w:val="false"/>
                <w:bCs w:val="false"/>
                <w:color w:val="2B3138"/>
                <w:sz w:val="17"/>
                <w:szCs w:val="17"/>
              </w:rPr>
              <w:t xml:space="preserve">1.9%</w:t>
            </w:r>
          </w:p>
        </w:tc>
        <w:tc>
          <w:tcPr>
            <w:tcW w:type="dxa" w:w="220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5"/>
              <w:left w:type="dxa" w:w="60"/>
              <w:bottom w:type="dxa" w:w="85"/>
              <w:right w:type="dxa" w:w="160"/>
            </w:tcMar>
            <w:vAlign w:val="center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15803D"/>
                <w:sz w:val="17"/>
                <w:szCs w:val="17"/>
              </w:rPr>
              <w:t xml:space="preserve">−69%</w:t>
            </w:r>
          </w:p>
        </w:tc>
      </w:tr>
    </w:tbl>
    <w:p>
      <w:pPr>
        <w:spacing w:after="130" w:before="260"/>
        <w:ind w:left="600" w:right="600"/>
      </w:pPr>
      <w:r>
        <w:rPr>
          <w:rFonts w:ascii="Consolas" w:cs="Consolas" w:eastAsia="Consolas" w:hAnsi="Consolas"/>
          <w:b/>
          <w:bCs/>
          <w:color w:val="2E7340"/>
          <w:spacing w:val="20"/>
          <w:sz w:val="17"/>
          <w:szCs w:val="17"/>
        </w:rPr>
        <w:t xml:space="preserve">EXPERIENCE</w:t>
      </w:r>
    </w:p>
    <w:tbl>
      <w:tblPr>
        <w:tblW w:type="dxa" w:w="11040"/>
        <w:tblInd w:type="dxa" w:w="60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9340"/>
        <w:gridCol w:w="1700"/>
      </w:tblGrid>
      <w:tr>
        <w:tc>
          <w:tcPr>
            <w:tcW w:type="dxa" w:w="9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1A1D20"/>
                <w:sz w:val="20"/>
                <w:szCs w:val="20"/>
              </w:rPr>
              <w:t xml:space="preserve">Senior Manufacturing Engineer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9AA0A6"/>
                <w:sz w:val="16"/>
                <w:szCs w:val="16"/>
              </w:rPr>
              <w:t xml:space="preserve">2020 – Present</w:t>
            </w:r>
          </w:p>
        </w:tc>
      </w:tr>
    </w:tbl>
    <w:p>
      <w:pPr>
        <w:spacing w:after="40"/>
        <w:ind w:left="600" w:right="600"/>
      </w:pPr>
      <w:r>
        <w:rPr>
          <w:rFonts w:ascii="Calibri" w:cs="Calibri" w:eastAsia="Calibri" w:hAnsi="Calibri"/>
          <w:b/>
          <w:bCs/>
          <w:color w:val="2E7340"/>
          <w:sz w:val="18"/>
          <w:szCs w:val="18"/>
        </w:rPr>
        <w:t xml:space="preserve">BMW Manufacturing — Greer, SC</w:t>
      </w:r>
    </w:p>
    <w:p>
      <w:pPr>
        <w:pStyle w:val="ListParagraph"/>
        <w:numPr>
          <w:ilvl w:val="0"/>
          <w:numId w:val="2"/>
        </w:numPr>
        <w:spacing w:after="30"/>
        <w:ind w:left="900" w:right="600" w:hanging="160"/>
      </w:pPr>
      <w:r>
        <w:rPr>
          <w:rFonts w:ascii="Calibri" w:cs="Calibri" w:eastAsia="Calibri" w:hAnsi="Calibri"/>
          <w:color w:val="3A3F45"/>
          <w:sz w:val="19"/>
          <w:szCs w:val="19"/>
        </w:rPr>
        <w:t xml:space="preserve">Led Lean and Six Sigma projects on the assembly line, cutting cycle time 42% and saving $3.6M/yr.</w:t>
      </w:r>
    </w:p>
    <w:p>
      <w:pPr>
        <w:pStyle w:val="ListParagraph"/>
        <w:numPr>
          <w:ilvl w:val="0"/>
          <w:numId w:val="2"/>
        </w:numPr>
        <w:spacing w:after="30"/>
        <w:ind w:left="900" w:right="600" w:hanging="160"/>
      </w:pPr>
      <w:r>
        <w:rPr>
          <w:rFonts w:ascii="Calibri" w:cs="Calibri" w:eastAsia="Calibri" w:hAnsi="Calibri"/>
          <w:color w:val="3A3F45"/>
          <w:sz w:val="19"/>
          <w:szCs w:val="19"/>
        </w:rPr>
        <w:t xml:space="preserve">Raised first-pass yield 9 points through SPC, poka-yoke, and standardized work.</w:t>
      </w:r>
    </w:p>
    <w:p>
      <w:pPr>
        <w:pStyle w:val="ListParagraph"/>
        <w:numPr>
          <w:ilvl w:val="0"/>
          <w:numId w:val="2"/>
        </w:numPr>
        <w:spacing w:after="30"/>
        <w:ind w:left="900" w:right="600" w:hanging="160"/>
      </w:pPr>
      <w:r>
        <w:rPr>
          <w:rFonts w:ascii="Calibri" w:cs="Calibri" w:eastAsia="Calibri" w:hAnsi="Calibri"/>
          <w:color w:val="3A3F45"/>
          <w:sz w:val="19"/>
          <w:szCs w:val="19"/>
        </w:rPr>
        <w:t xml:space="preserve">Ramped a new body-shop line from launch to full rate two weeks ahead of plan.</w:t>
      </w:r>
    </w:p>
    <w:p>
      <w:pPr>
        <w:spacing w:after="110"/>
      </w:pPr>
    </w:p>
    <w:tbl>
      <w:tblPr>
        <w:tblW w:type="dxa" w:w="11040"/>
        <w:tblInd w:type="dxa" w:w="60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9340"/>
        <w:gridCol w:w="1700"/>
      </w:tblGrid>
      <w:tr>
        <w:tc>
          <w:tcPr>
            <w:tcW w:type="dxa" w:w="9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1A1D20"/>
                <w:sz w:val="20"/>
                <w:szCs w:val="20"/>
              </w:rPr>
              <w:t xml:space="preserve">Process Engineer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9AA0A6"/>
                <w:sz w:val="16"/>
                <w:szCs w:val="16"/>
              </w:rPr>
              <w:t xml:space="preserve">2016 – 2020</w:t>
            </w:r>
          </w:p>
        </w:tc>
      </w:tr>
    </w:tbl>
    <w:p>
      <w:pPr>
        <w:spacing w:after="40"/>
        <w:ind w:left="600" w:right="600"/>
      </w:pPr>
      <w:r>
        <w:rPr>
          <w:rFonts w:ascii="Calibri" w:cs="Calibri" w:eastAsia="Calibri" w:hAnsi="Calibri"/>
          <w:b/>
          <w:bCs/>
          <w:color w:val="2E7340"/>
          <w:sz w:val="18"/>
          <w:szCs w:val="18"/>
        </w:rPr>
        <w:t xml:space="preserve">Bosch — Anderson, SC</w:t>
      </w:r>
    </w:p>
    <w:p>
      <w:pPr>
        <w:pStyle w:val="ListParagraph"/>
        <w:numPr>
          <w:ilvl w:val="0"/>
          <w:numId w:val="2"/>
        </w:numPr>
        <w:spacing w:after="30"/>
        <w:ind w:left="900" w:right="600" w:hanging="160"/>
      </w:pPr>
      <w:r>
        <w:rPr>
          <w:rFonts w:ascii="Calibri" w:cs="Calibri" w:eastAsia="Calibri" w:hAnsi="Calibri"/>
          <w:color w:val="3A3F45"/>
          <w:sz w:val="19"/>
          <w:szCs w:val="19"/>
        </w:rPr>
        <w:t xml:space="preserve">Owned process engineering for a CNC machining cell, improving OEE from 68% to 84%.</w:t>
      </w:r>
    </w:p>
    <w:p>
      <w:pPr>
        <w:pStyle w:val="ListParagraph"/>
        <w:numPr>
          <w:ilvl w:val="0"/>
          <w:numId w:val="2"/>
        </w:numPr>
        <w:spacing w:after="30"/>
        <w:ind w:left="900" w:right="600" w:hanging="160"/>
      </w:pPr>
      <w:r>
        <w:rPr>
          <w:rFonts w:ascii="Calibri" w:cs="Calibri" w:eastAsia="Calibri" w:hAnsi="Calibri"/>
          <w:color w:val="3A3F45"/>
          <w:sz w:val="19"/>
          <w:szCs w:val="19"/>
        </w:rPr>
        <w:t xml:space="preserve">Wrote PFMEAs, control plans, and work instructions for new product introductions.</w:t>
      </w:r>
    </w:p>
    <w:p>
      <w:pPr>
        <w:spacing w:after="110"/>
      </w:pPr>
    </w:p>
    <w:tbl>
      <w:tblPr>
        <w:tblW w:type="dxa" w:w="11040"/>
        <w:tblInd w:type="dxa" w:w="60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9340"/>
        <w:gridCol w:w="1700"/>
      </w:tblGrid>
      <w:tr>
        <w:tc>
          <w:tcPr>
            <w:tcW w:type="dxa" w:w="9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1A1D20"/>
                <w:sz w:val="20"/>
                <w:szCs w:val="20"/>
              </w:rPr>
              <w:t xml:space="preserve">Manufacturing Engineer I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9AA0A6"/>
                <w:sz w:val="16"/>
                <w:szCs w:val="16"/>
              </w:rPr>
              <w:t xml:space="preserve">2015 – 2016</w:t>
            </w:r>
          </w:p>
        </w:tc>
      </w:tr>
    </w:tbl>
    <w:p>
      <w:pPr>
        <w:spacing w:after="40"/>
        <w:ind w:left="600" w:right="600"/>
      </w:pPr>
      <w:r>
        <w:rPr>
          <w:rFonts w:ascii="Calibri" w:cs="Calibri" w:eastAsia="Calibri" w:hAnsi="Calibri"/>
          <w:b/>
          <w:bCs/>
          <w:color w:val="2E7340"/>
          <w:sz w:val="18"/>
          <w:szCs w:val="18"/>
        </w:rPr>
        <w:t xml:space="preserve">Michelin — Greenville, SC</w:t>
      </w:r>
    </w:p>
    <w:p>
      <w:pPr>
        <w:pStyle w:val="ListParagraph"/>
        <w:numPr>
          <w:ilvl w:val="0"/>
          <w:numId w:val="2"/>
        </w:numPr>
        <w:spacing w:after="30"/>
        <w:ind w:left="900" w:right="600" w:hanging="160"/>
      </w:pPr>
      <w:r>
        <w:rPr>
          <w:rFonts w:ascii="Calibri" w:cs="Calibri" w:eastAsia="Calibri" w:hAnsi="Calibri"/>
          <w:color w:val="3A3F45"/>
          <w:sz w:val="19"/>
          <w:szCs w:val="19"/>
        </w:rPr>
        <w:t xml:space="preserve">Supported tooling and process trials on the production floor.</w:t>
      </w:r>
    </w:p>
    <w:p>
      <w:pPr>
        <w:spacing w:after="60"/>
      </w:pPr>
    </w:p>
    <w:tbl>
      <w:tblPr>
        <w:tblW w:type="dxa" w:w="11040"/>
        <w:tblInd w:type="dxa" w:w="600"/>
        <w:tblBorders>
          <w:top w:val="single" w:color="ECE4DB" w:sz="4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439"/>
        <w:gridCol w:w="4601"/>
      </w:tblGrid>
      <w:tr>
        <w:tc>
          <w:tcPr>
            <w:tcW w:type="dxa" w:w="6439"/>
            <w:tcBorders>
              <w:top w:val="none" w:color="FFFFFF" w:sz="0"/>
              <w:left w:val="none" w:color="FFFFFF" w:sz="0"/>
              <w:bottom w:val="none" w:color="FFFFFF" w:sz="0"/>
              <w:right w:val="single" w:color="ECE4DB" w:sz="4"/>
            </w:tcBorders>
            <w:tcMar>
              <w:top w:type="dxa" w:w="140"/>
              <w:left w:type="dxa" w:w="0"/>
              <w:bottom w:type="dxa" w:w="40"/>
              <w:right w:type="dxa" w:w="230"/>
            </w:tcMar>
            <w:vAlign w:val="top"/>
          </w:tcPr>
          <w:p>
            <w:pPr>
              <w:spacing w:after="80"/>
            </w:pPr>
            <w:r>
              <w:rPr>
                <w:rFonts w:ascii="Consolas" w:cs="Consolas" w:eastAsia="Consolas" w:hAnsi="Consolas"/>
                <w:b/>
                <w:bCs/>
                <w:color w:val="2E7340"/>
                <w:spacing w:val="12"/>
                <w:sz w:val="15"/>
                <w:szCs w:val="15"/>
              </w:rPr>
              <w:t xml:space="preserve">TECHNICAL SKILLS</w:t>
            </w:r>
          </w:p>
          <w:tbl>
            <w:tblPr>
              <w:tblW w:type="dxa" w:w="621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900"/>
              <w:gridCol w:w="5310"/>
            </w:tblGrid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120"/>
                  </w:tcMar>
                  <w:vAlign w:val="top"/>
                </w:tcPr>
                <w:p>
                  <w:r>
                    <w:rPr>
                      <w:rFonts w:ascii="Consolas" w:cs="Consolas" w:eastAsia="Consolas" w:hAnsi="Consolas"/>
                      <w:color w:val="A39A8F"/>
                      <w:spacing w:val="5"/>
                      <w:sz w:val="14"/>
                      <w:szCs w:val="14"/>
                    </w:rPr>
                    <w:t xml:space="preserve">METHODS</w:t>
                  </w:r>
                </w:p>
              </w:tc>
              <w:tc>
                <w:tcPr>
                  <w:tcW w:type="dxa" w:w="531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0"/>
                  </w:tcMar>
                  <w:vAlign w:val="top"/>
                </w:tcPr>
                <w:p>
                  <w:r>
                    <w:rPr>
                      <w:rFonts w:ascii="Calibri" w:cs="Calibri" w:eastAsia="Calibri" w:hAnsi="Calibri"/>
                      <w:color w:val="3A3F45"/>
                      <w:sz w:val="17"/>
                      <w:szCs w:val="17"/>
                    </w:rPr>
                    <w:t xml:space="preserve">Lean · Six Sigma (BB) · Kaizen · 5S · SPC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120"/>
                  </w:tcMar>
                  <w:vAlign w:val="top"/>
                </w:tcPr>
                <w:p>
                  <w:r>
                    <w:rPr>
                      <w:rFonts w:ascii="Consolas" w:cs="Consolas" w:eastAsia="Consolas" w:hAnsi="Consolas"/>
                      <w:color w:val="A39A8F"/>
                      <w:spacing w:val="5"/>
                      <w:sz w:val="14"/>
                      <w:szCs w:val="14"/>
                    </w:rPr>
                    <w:t xml:space="preserve">QUALITY</w:t>
                  </w:r>
                </w:p>
              </w:tc>
              <w:tc>
                <w:tcPr>
                  <w:tcW w:type="dxa" w:w="531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0"/>
                  </w:tcMar>
                  <w:vAlign w:val="top"/>
                </w:tcPr>
                <w:p>
                  <w:r>
                    <w:rPr>
                      <w:rFonts w:ascii="Calibri" w:cs="Calibri" w:eastAsia="Calibri" w:hAnsi="Calibri"/>
                      <w:color w:val="3A3F45"/>
                      <w:sz w:val="17"/>
                      <w:szCs w:val="17"/>
                    </w:rPr>
                    <w:t xml:space="preserve">PFMEA · Control Plans · APQP · PPAP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120"/>
                  </w:tcMar>
                  <w:vAlign w:val="top"/>
                </w:tcPr>
                <w:p>
                  <w:r>
                    <w:rPr>
                      <w:rFonts w:ascii="Consolas" w:cs="Consolas" w:eastAsia="Consolas" w:hAnsi="Consolas"/>
                      <w:color w:val="A39A8F"/>
                      <w:spacing w:val="5"/>
                      <w:sz w:val="14"/>
                      <w:szCs w:val="14"/>
                    </w:rPr>
                    <w:t xml:space="preserve">TOOLS</w:t>
                  </w:r>
                </w:p>
              </w:tc>
              <w:tc>
                <w:tcPr>
                  <w:tcW w:type="dxa" w:w="531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0"/>
                  </w:tcMar>
                  <w:vAlign w:val="top"/>
                </w:tcPr>
                <w:p>
                  <w:r>
                    <w:rPr>
                      <w:rFonts w:ascii="Calibri" w:cs="Calibri" w:eastAsia="Calibri" w:hAnsi="Calibri"/>
                      <w:color w:val="3A3F45"/>
                      <w:sz w:val="17"/>
                      <w:szCs w:val="17"/>
                    </w:rPr>
                    <w:t xml:space="preserve">Minitab · AutoCAD · SAP · PLC basics</w:t>
                  </w:r>
                </w:p>
              </w:tc>
            </w:tr>
          </w:tbl>
          <w:p/>
        </w:tc>
        <w:tc>
          <w:tcPr>
            <w:tcW w:type="dxa" w:w="4601"/>
            <w:tcBorders>
              <w:top w:val="none" w:color="FFFFFF" w:sz="0"/>
              <w:left w:val="none" w:color="FFFFFF" w:sz="0"/>
              <w:bottom w:val="none" w:color="FFFFFF" w:sz="0"/>
              <w:right w:val="none"/>
            </w:tcBorders>
            <w:tcMar>
              <w:top w:type="dxa" w:w="140"/>
              <w:left w:type="dxa" w:w="230"/>
              <w:bottom w:type="dxa" w:w="40"/>
              <w:right w:type="dxa" w:w="0"/>
            </w:tcMar>
            <w:vAlign w:val="top"/>
          </w:tcPr>
          <w:p>
            <w:pPr>
              <w:spacing w:after="80"/>
            </w:pPr>
            <w:r>
              <w:rPr>
                <w:rFonts w:ascii="Consolas" w:cs="Consolas" w:eastAsia="Consolas" w:hAnsi="Consolas"/>
                <w:b/>
                <w:bCs/>
                <w:color w:val="2E7340"/>
                <w:spacing w:val="12"/>
                <w:sz w:val="15"/>
                <w:szCs w:val="15"/>
              </w:rPr>
              <w:t xml:space="preserve">EDUCATION</w:t>
            </w:r>
          </w:p>
          <w:p>
            <w:pPr>
              <w:spacing w:after="2"/>
            </w:pPr>
            <w:r>
              <w:rPr>
                <w:rFonts w:ascii="Calibri" w:cs="Calibri" w:eastAsia="Calibri" w:hAnsi="Calibri"/>
                <w:b/>
                <w:bCs/>
                <w:color w:val="1A1D20"/>
                <w:sz w:val="18"/>
                <w:szCs w:val="18"/>
              </w:rPr>
              <w:t xml:space="preserve">B.S., Mechanical Engineering</w:t>
            </w:r>
          </w:p>
          <w:p>
            <w:pPr>
              <w:spacing w:after="4"/>
            </w:pPr>
            <w:r>
              <w:rPr>
                <w:rFonts w:ascii="Calibri" w:cs="Calibri" w:eastAsia="Calibri" w:hAnsi="Calibri"/>
                <w:color w:val="9A8F82"/>
                <w:sz w:val="17"/>
                <w:szCs w:val="17"/>
              </w:rPr>
              <w:t xml:space="preserve">Clemson University</w:t>
            </w:r>
          </w:p>
          <w:p>
            <w:r>
              <w:rPr>
                <w:rFonts w:ascii="Calibri" w:cs="Calibri" w:eastAsia="Calibri" w:hAnsi="Calibri"/>
                <w:color w:val="3A3F45"/>
                <w:sz w:val="17"/>
                <w:szCs w:val="17"/>
              </w:rPr>
              <w:t xml:space="preserve">Six Sigma Black Belt (ASQ)</w:t>
            </w:r>
          </w:p>
        </w:tc>
      </w:tr>
    </w:tbl>
    <w:sectPr>
      <w:pgSz w:w="12240" w:h="15840" w:orient="portrait"/>
      <w:pgMar w:top="0" w:right="0" w:bottom="56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30" w:hanging="1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A3F45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hyfeo4auwe4itp9dmleak" Type="http://schemas.openxmlformats.org/officeDocument/2006/relationships/hyperlink" Target="mailto:c.jimenez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2026-06-19T17:19:57.833Z</dcterms:created>
  <dcterms:modified xsi:type="dcterms:W3CDTF">2026-06-19T17:19:57.833Z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