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 w:lineRule="exact"/>
      </w:pPr>
      <w:r>
        <w:rPr>
          <w:sz w:val="1"/>
          <w:szCs w:val="1"/>
        </w:rPr>
        <w:t xml:space="preserve"/>
      </w:r>
    </w:p>
    <w:tbl>
      <w:tblPr>
        <w:tblW w:type="dxa" w:w="12240"/>
        <w:tblBorders>
          <w:top w:val="none"/>
          <w:left w:val="single" w:color="D6DDE6" w:sz="3"/>
          <w:bottom w:val="none"/>
          <w:right w:val="none"/>
          <w:insideH w:val="none"/>
          <w:insideV w:val="none"/>
        </w:tblBorders>
        <w:tblLayout w:type="fixed"/>
      </w:tblPr>
      <w:tblGrid>
        <w:gridCol w:w="8160"/>
        <w:gridCol w:w="2040"/>
        <w:gridCol w:w="2040"/>
      </w:tblGrid>
      <w:tr>
        <w:tc>
          <w:tcPr>
            <w:tcW w:type="dxa" w:w="8160"/>
            <w:vMerge w:val="restart"/>
            <w:tcBorders>
              <w:top w:val="none" w:color="FFFFFF" w:sz="0"/>
              <w:left w:val="none" w:color="FFFFFF" w:sz="0"/>
              <w:bottom w:val="none" w:color="FFFFFF" w:sz="0"/>
              <w:right w:val="none" w:color="FFFFFF" w:sz="0"/>
            </w:tcBorders>
            <w:tcMar>
              <w:top w:type="dxa" w:w="430"/>
              <w:left w:type="dxa" w:w="560"/>
              <w:bottom w:type="dxa" w:w="330"/>
              <w:right w:type="dxa" w:w="120"/>
            </w:tcMar>
            <w:vAlign w:val="top"/>
          </w:tcPr>
          <w:p>
            <w:pPr>
              <w:spacing w:after="50"/>
            </w:pPr>
            <w:r>
              <w:rPr>
                <w:rFonts w:ascii="Consolas" w:cs="Consolas" w:eastAsia="Consolas" w:hAnsi="Consolas"/>
                <w:b/>
                <w:bCs/>
                <w:color w:val="A0703A"/>
                <w:spacing w:val="20"/>
                <w:sz w:val="17"/>
                <w:szCs w:val="17"/>
              </w:rPr>
              <w:t xml:space="preserve">PROJECT ENGINEER · ENGINEERING MANAGER</w:t>
            </w:r>
          </w:p>
          <w:p>
            <w:r>
              <w:rPr>
                <w:rFonts w:ascii="Calibri" w:cs="Calibri" w:eastAsia="Calibri" w:hAnsi="Calibri"/>
                <w:b/>
                <w:bCs/>
                <w:color w:val="13202F"/>
                <w:sz w:val="60"/>
                <w:szCs w:val="60"/>
              </w:rPr>
              <w:t xml:space="preserve">James Okonkwo, PE</w:t>
            </w:r>
          </w:p>
        </w:tc>
        <w:tc>
          <w:tcPr>
            <w:tcW w:type="dxa" w:w="2040"/>
            <w:tcBorders>
              <w:top w:val="none"/>
              <w:left w:val="none"/>
              <w:bottom w:val="single" w:color="D6DDE6" w:sz="3"/>
              <w:right w:val="single" w:color="D6DDE6" w:sz="3"/>
            </w:tcBorders>
            <w:tcMar>
              <w:top w:type="dxa" w:w="130"/>
              <w:left w:type="dxa" w:w="180"/>
              <w:bottom w:type="dxa" w:w="130"/>
              <w:right w:type="dxa" w:w="120"/>
            </w:tcMar>
            <w:vAlign w:val="top"/>
          </w:tcPr>
          <w:p>
            <w:pPr>
              <w:spacing w:after="20"/>
            </w:pPr>
            <w:r>
              <w:rPr>
                <w:rFonts w:ascii="Consolas" w:cs="Consolas" w:eastAsia="Consolas" w:hAnsi="Consolas"/>
                <w:color w:val="9AA6B3"/>
                <w:spacing w:val="6"/>
                <w:sz w:val="12"/>
                <w:szCs w:val="12"/>
              </w:rPr>
              <w:t xml:space="preserve">LOCATION</w:t>
            </w:r>
          </w:p>
          <w:p>
            <w:r>
              <w:rPr>
                <w:rFonts w:ascii="Consolas" w:cs="Consolas" w:eastAsia="Consolas" w:hAnsi="Consolas"/>
                <w:color w:val="13202F"/>
                <w:sz w:val="16"/>
                <w:szCs w:val="16"/>
              </w:rPr>
              <w:t xml:space="preserve">Houston, TX</w:t>
            </w:r>
          </w:p>
        </w:tc>
        <w:tc>
          <w:tcPr>
            <w:tcW w:type="dxa" w:w="2040"/>
            <w:tcBorders>
              <w:top w:val="none"/>
              <w:left w:val="none"/>
              <w:bottom w:val="single" w:color="D6DDE6" w:sz="3"/>
              <w:right w:val="none"/>
            </w:tcBorders>
            <w:tcMar>
              <w:top w:type="dxa" w:w="130"/>
              <w:left w:type="dxa" w:w="180"/>
              <w:bottom w:type="dxa" w:w="130"/>
              <w:right w:type="dxa" w:w="120"/>
            </w:tcMar>
            <w:vAlign w:val="top"/>
          </w:tcPr>
          <w:p>
            <w:pPr>
              <w:spacing w:after="20"/>
            </w:pPr>
            <w:r>
              <w:rPr>
                <w:rFonts w:ascii="Consolas" w:cs="Consolas" w:eastAsia="Consolas" w:hAnsi="Consolas"/>
                <w:color w:val="9AA6B3"/>
                <w:spacing w:val="6"/>
                <w:sz w:val="12"/>
                <w:szCs w:val="12"/>
              </w:rPr>
              <w:t xml:space="preserve">EXP.</w:t>
            </w:r>
          </w:p>
          <w:p>
            <w:r>
              <w:rPr>
                <w:rFonts w:ascii="Consolas" w:cs="Consolas" w:eastAsia="Consolas" w:hAnsi="Consolas"/>
                <w:color w:val="13202F"/>
                <w:sz w:val="16"/>
                <w:szCs w:val="16"/>
              </w:rPr>
              <w:t xml:space="preserve">14 yrs</w:t>
            </w:r>
          </w:p>
        </w:tc>
      </w:tr>
      <w:tr>
        <w:tc>
          <w:tcPr>
            <w:vMerge w:val="continue"/>
            <w:tcBorders>
              <w:top w:val="none" w:color="FFFFFF" w:sz="0"/>
              <w:left w:val="none" w:color="FFFFFF" w:sz="0"/>
              <w:bottom w:val="none" w:color="FFFFFF" w:sz="0"/>
              <w:right w:val="none" w:color="FFFFFF" w:sz="0"/>
            </w:tcBorders>
          </w:tcPr>
          <w:p/>
        </w:tc>
        <w:tc>
          <w:tcPr>
            <w:tcW w:type="dxa" w:w="2040"/>
            <w:tcBorders>
              <w:top w:val="none"/>
              <w:left w:val="none"/>
              <w:bottom w:val="none"/>
              <w:right w:val="single" w:color="D6DDE6" w:sz="3"/>
            </w:tcBorders>
            <w:tcMar>
              <w:top w:type="dxa" w:w="130"/>
              <w:left w:type="dxa" w:w="180"/>
              <w:bottom w:type="dxa" w:w="130"/>
              <w:right w:type="dxa" w:w="120"/>
            </w:tcMar>
            <w:vAlign w:val="top"/>
          </w:tcPr>
          <w:p>
            <w:pPr>
              <w:spacing w:after="20"/>
            </w:pPr>
            <w:r>
              <w:rPr>
                <w:rFonts w:ascii="Consolas" w:cs="Consolas" w:eastAsia="Consolas" w:hAnsi="Consolas"/>
                <w:color w:val="9AA6B3"/>
                <w:spacing w:val="6"/>
                <w:sz w:val="12"/>
                <w:szCs w:val="12"/>
              </w:rPr>
              <w:t xml:space="preserve">LICENSE</w:t>
            </w:r>
          </w:p>
          <w:p>
            <w:r>
              <w:rPr>
                <w:rFonts w:ascii="Consolas" w:cs="Consolas" w:eastAsia="Consolas" w:hAnsi="Consolas"/>
                <w:color w:val="13202F"/>
                <w:sz w:val="16"/>
                <w:szCs w:val="16"/>
              </w:rPr>
              <w:t xml:space="preserve">PE · PMP</w:t>
            </w:r>
          </w:p>
        </w:tc>
        <w:tc>
          <w:tcPr>
            <w:tcW w:type="dxa" w:w="2040"/>
            <w:tcBorders>
              <w:top w:val="none"/>
              <w:left w:val="none"/>
              <w:bottom w:val="none"/>
              <w:right w:val="none"/>
            </w:tcBorders>
            <w:tcMar>
              <w:top w:type="dxa" w:w="130"/>
              <w:left w:type="dxa" w:w="180"/>
              <w:bottom w:type="dxa" w:w="130"/>
              <w:right w:type="dxa" w:w="120"/>
            </w:tcMar>
            <w:vAlign w:val="top"/>
          </w:tcPr>
          <w:p>
            <w:pPr>
              <w:spacing w:after="20"/>
            </w:pPr>
            <w:r>
              <w:rPr>
                <w:rFonts w:ascii="Consolas" w:cs="Consolas" w:eastAsia="Consolas" w:hAnsi="Consolas"/>
                <w:color w:val="9AA6B3"/>
                <w:spacing w:val="6"/>
                <w:sz w:val="12"/>
                <w:szCs w:val="12"/>
              </w:rPr>
              <w:t xml:space="preserve">PHONE</w:t>
            </w:r>
          </w:p>
          <w:p>
            <w:r>
              <w:rPr>
                <w:rFonts w:ascii="Consolas" w:cs="Consolas" w:eastAsia="Consolas" w:hAnsi="Consolas"/>
                <w:color w:val="13202F"/>
                <w:sz w:val="16"/>
                <w:szCs w:val="16"/>
              </w:rPr>
              <w:t xml:space="preserve">555-0129</w:t>
            </w:r>
          </w:p>
        </w:tc>
      </w:tr>
    </w:tbl>
    <w:tbl>
      <w:tblPr>
        <w:tblW w:type="dxa" w:w="12240"/>
        <w:tblBorders>
          <w:top w:val="single" w:color="D6DDE6" w:sz="3"/>
          <w:left w:val="none"/>
          <w:bottom w:val="single" w:color="1E4A38" w:sz="18"/>
          <w:right w:val="none"/>
          <w:insideH w:val="none"/>
          <w:insideV w:val="none"/>
        </w:tblBorders>
        <w:tblLayout w:type="fixed"/>
      </w:tblPr>
      <w:tblGrid>
        <w:gridCol w:w="6120"/>
        <w:gridCol w:w="6120"/>
      </w:tblGrid>
      <w:tr>
        <w:tc>
          <w:tcPr>
            <w:tcW w:type="dxa" w:w="6120"/>
            <w:tcBorders>
              <w:top w:val="none" w:color="FFFFFF" w:sz="0"/>
              <w:left w:val="none" w:color="FFFFFF" w:sz="0"/>
              <w:bottom w:val="none" w:color="FFFFFF" w:sz="0"/>
              <w:right w:val="none" w:color="FFFFFF" w:sz="0"/>
            </w:tcBorders>
            <w:shd w:fill="F4F6F9" w:color="auto" w:val="clear"/>
            <w:tcMar>
              <w:top w:type="dxa" w:w="80"/>
              <w:left w:type="dxa" w:w="560"/>
              <w:bottom w:type="dxa" w:w="80"/>
              <w:right w:type="dxa" w:w="60"/>
            </w:tcMar>
          </w:tcPr>
          <w:p>
            <w:hyperlink w:history="1" r:id="rIdqz-uvnnfo9pntqnducb5l">
              <w:r>
                <w:rPr>
                  <w:rFonts w:ascii="Consolas" w:cs="Consolas" w:eastAsia="Consolas" w:hAnsi="Consolas"/>
                  <w:color w:val="5A6B7D"/>
                  <w:sz w:val="15"/>
                  <w:szCs w:val="15"/>
                </w:rPr>
                <w:t xml:space="preserve">j.okonkwo@email.com</w:t>
              </w:r>
            </w:hyperlink>
          </w:p>
        </w:tc>
        <w:tc>
          <w:tcPr>
            <w:tcW w:type="dxa" w:w="6120"/>
            <w:tcBorders>
              <w:top w:val="none" w:color="FFFFFF" w:sz="0"/>
              <w:left w:val="none" w:color="FFFFFF" w:sz="0"/>
              <w:bottom w:val="none" w:color="FFFFFF" w:sz="0"/>
              <w:right w:val="none" w:color="FFFFFF" w:sz="0"/>
            </w:tcBorders>
            <w:shd w:fill="F4F6F9" w:color="auto" w:val="clear"/>
            <w:tcMar>
              <w:top w:type="dxa" w:w="80"/>
              <w:left w:type="dxa" w:w="60"/>
              <w:bottom w:type="dxa" w:w="80"/>
              <w:right w:type="dxa" w:w="560"/>
            </w:tcMar>
          </w:tcPr>
          <w:p>
            <w:pPr>
              <w:jc w:val="right"/>
            </w:pPr>
            <w:r>
              <w:rPr>
                <w:rFonts w:ascii="Consolas" w:cs="Consolas" w:eastAsia="Consolas" w:hAnsi="Consolas"/>
                <w:color w:val="5A6B7D"/>
                <w:sz w:val="15"/>
                <w:szCs w:val="15"/>
              </w:rPr>
              <w:t xml:space="preserve">in/jamesokonkwo</w:t>
            </w:r>
          </w:p>
        </w:tc>
      </w:tr>
    </w:tbl>
    <w:p>
      <w:pPr>
        <w:spacing w:after="200" w:before="300"/>
        <w:ind w:left="560" w:right="560"/>
      </w:pPr>
      <w:r>
        <w:rPr>
          <w:rFonts w:ascii="Calibri" w:cs="Calibri" w:eastAsia="Calibri" w:hAnsi="Calibri"/>
          <w:color w:val="36404D"/>
          <w:sz w:val="20"/>
          <w:szCs w:val="20"/>
        </w:rPr>
        <w:t xml:space="preserve">Project engineer and engineering manager who delivers capital projects on time, on budget, and to spec. Fourteen years leading multidisciplinary teams across design, procurement, and commissioning for industrial and energy facilities. Licensed PE and PMP who owns scope, schedule, and the people who build it.</w:t>
      </w:r>
    </w:p>
    <w:tbl>
      <w:tblPr>
        <w:tblW w:type="dxa" w:w="11120"/>
        <w:tblInd w:type="dxa" w:w="560"/>
        <w:tblBorders>
          <w:top w:val="single" w:color="D5DCE4" w:sz="4"/>
          <w:left w:val="single" w:color="D5DCE4" w:sz="4"/>
          <w:bottom w:val="single" w:color="D5DCE4" w:sz="4"/>
          <w:right w:val="single" w:color="D5DCE4" w:sz="4"/>
          <w:insideH w:val="none"/>
          <w:insideV w:val="none"/>
        </w:tblBorders>
        <w:tblLayout w:type="fixed"/>
      </w:tblPr>
      <w:tblGrid>
        <w:gridCol w:w="2780"/>
        <w:gridCol w:w="2780"/>
        <w:gridCol w:w="2780"/>
        <w:gridCol w:w="2780"/>
      </w:tblGrid>
      <w:tr>
        <w:tc>
          <w:tcPr>
            <w:tcW w:type="dxa" w:w="2780"/>
            <w:tcBorders>
              <w:top w:val="none"/>
              <w:left w:val="none"/>
              <w:bottom w:val="none"/>
              <w:right w:val="none"/>
            </w:tcBorders>
            <w:tcMar>
              <w:top w:type="dxa" w:w="150"/>
              <w:left w:type="dxa" w:w="60"/>
              <w:bottom w:type="dxa" w:w="140"/>
              <w:right w:type="dxa" w:w="60"/>
            </w:tcMar>
            <w:vAlign w:val="center"/>
          </w:tcPr>
          <w:p>
            <w:pPr>
              <w:spacing w:after="50"/>
              <w:jc w:val="center"/>
            </w:pPr>
            <w:r>
              <w:rPr>
                <w:rFonts w:ascii="Consolas" w:cs="Consolas" w:eastAsia="Consolas" w:hAnsi="Consolas"/>
                <w:b/>
                <w:bCs/>
                <w:color w:val="1E4A38"/>
                <w:sz w:val="35"/>
                <w:szCs w:val="35"/>
              </w:rPr>
              <w:t xml:space="preserve">$85M</w:t>
            </w:r>
          </w:p>
          <w:p>
            <w:pPr>
              <w:jc w:val="center"/>
            </w:pPr>
            <w:r>
              <w:rPr>
                <w:rFonts w:ascii="Calibri" w:cs="Calibri" w:eastAsia="Calibri" w:hAnsi="Calibri"/>
                <w:b/>
                <w:bCs/>
                <w:color w:val="7E8A97"/>
                <w:spacing w:val="4"/>
                <w:sz w:val="12"/>
                <w:szCs w:val="12"/>
              </w:rPr>
              <w:t xml:space="preserve">CAPITAL DELIVERED</w:t>
            </w:r>
          </w:p>
        </w:tc>
        <w:tc>
          <w:tcPr>
            <w:tcW w:type="dxa" w:w="2780"/>
            <w:tcBorders>
              <w:top w:val="none"/>
              <w:left w:val="single" w:color="D5DCE4" w:sz="3"/>
              <w:bottom w:val="none"/>
              <w:right w:val="none"/>
            </w:tcBorders>
            <w:tcMar>
              <w:top w:type="dxa" w:w="150"/>
              <w:left w:type="dxa" w:w="60"/>
              <w:bottom w:type="dxa" w:w="140"/>
              <w:right w:type="dxa" w:w="60"/>
            </w:tcMar>
            <w:vAlign w:val="center"/>
          </w:tcPr>
          <w:p>
            <w:pPr>
              <w:spacing w:after="50"/>
              <w:jc w:val="center"/>
            </w:pPr>
            <w:r>
              <w:rPr>
                <w:rFonts w:ascii="Consolas" w:cs="Consolas" w:eastAsia="Consolas" w:hAnsi="Consolas"/>
                <w:b/>
                <w:bCs/>
                <w:color w:val="1E4A38"/>
                <w:sz w:val="35"/>
                <w:szCs w:val="35"/>
              </w:rPr>
              <w:t xml:space="preserve">22</w:t>
            </w:r>
          </w:p>
          <w:p>
            <w:pPr>
              <w:jc w:val="center"/>
            </w:pPr>
            <w:r>
              <w:rPr>
                <w:rFonts w:ascii="Calibri" w:cs="Calibri" w:eastAsia="Calibri" w:hAnsi="Calibri"/>
                <w:b/>
                <w:bCs/>
                <w:color w:val="7E8A97"/>
                <w:spacing w:val="4"/>
                <w:sz w:val="12"/>
                <w:szCs w:val="12"/>
              </w:rPr>
              <w:t xml:space="preserve">ENGINEERS LED</w:t>
            </w:r>
          </w:p>
        </w:tc>
        <w:tc>
          <w:tcPr>
            <w:tcW w:type="dxa" w:w="2780"/>
            <w:tcBorders>
              <w:top w:val="none"/>
              <w:left w:val="single" w:color="D5DCE4" w:sz="3"/>
              <w:bottom w:val="none"/>
              <w:right w:val="none"/>
            </w:tcBorders>
            <w:tcMar>
              <w:top w:type="dxa" w:w="150"/>
              <w:left w:type="dxa" w:w="60"/>
              <w:bottom w:type="dxa" w:w="140"/>
              <w:right w:type="dxa" w:w="60"/>
            </w:tcMar>
            <w:vAlign w:val="center"/>
          </w:tcPr>
          <w:p>
            <w:pPr>
              <w:spacing w:after="50"/>
              <w:jc w:val="center"/>
            </w:pPr>
            <w:r>
              <w:rPr>
                <w:rFonts w:ascii="Consolas" w:cs="Consolas" w:eastAsia="Consolas" w:hAnsi="Consolas"/>
                <w:b/>
                <w:bCs/>
                <w:color w:val="1E4A38"/>
                <w:sz w:val="35"/>
                <w:szCs w:val="35"/>
              </w:rPr>
              <w:t xml:space="preserve">98%</w:t>
            </w:r>
          </w:p>
          <w:p>
            <w:pPr>
              <w:jc w:val="center"/>
            </w:pPr>
            <w:r>
              <w:rPr>
                <w:rFonts w:ascii="Calibri" w:cs="Calibri" w:eastAsia="Calibri" w:hAnsi="Calibri"/>
                <w:b/>
                <w:bCs/>
                <w:color w:val="7E8A97"/>
                <w:spacing w:val="4"/>
                <w:sz w:val="12"/>
                <w:szCs w:val="12"/>
              </w:rPr>
              <w:t xml:space="preserve">ON-TIME DELIVERY</w:t>
            </w:r>
          </w:p>
        </w:tc>
        <w:tc>
          <w:tcPr>
            <w:tcW w:type="dxa" w:w="2780"/>
            <w:tcBorders>
              <w:top w:val="none"/>
              <w:left w:val="single" w:color="D5DCE4" w:sz="3"/>
              <w:bottom w:val="none"/>
              <w:right w:val="none"/>
            </w:tcBorders>
            <w:tcMar>
              <w:top w:type="dxa" w:w="150"/>
              <w:left w:type="dxa" w:w="60"/>
              <w:bottom w:type="dxa" w:w="140"/>
              <w:right w:type="dxa" w:w="60"/>
            </w:tcMar>
            <w:vAlign w:val="center"/>
          </w:tcPr>
          <w:p>
            <w:pPr>
              <w:spacing w:after="50"/>
              <w:jc w:val="center"/>
            </w:pPr>
            <w:r>
              <w:rPr>
                <w:rFonts w:ascii="Consolas" w:cs="Consolas" w:eastAsia="Consolas" w:hAnsi="Consolas"/>
                <w:b/>
                <w:bCs/>
                <w:color w:val="1E4A38"/>
                <w:sz w:val="35"/>
                <w:szCs w:val="35"/>
              </w:rPr>
              <w:t xml:space="preserve">0</w:t>
            </w:r>
          </w:p>
          <w:p>
            <w:pPr>
              <w:jc w:val="center"/>
            </w:pPr>
            <w:r>
              <w:rPr>
                <w:rFonts w:ascii="Calibri" w:cs="Calibri" w:eastAsia="Calibri" w:hAnsi="Calibri"/>
                <w:b/>
                <w:bCs/>
                <w:color w:val="7E8A97"/>
                <w:spacing w:val="4"/>
                <w:sz w:val="12"/>
                <w:szCs w:val="12"/>
              </w:rPr>
              <w:t xml:space="preserve">LOST-TIME INCIDENTS</w:t>
            </w:r>
          </w:p>
        </w:tc>
      </w:tr>
    </w:tbl>
    <w:p>
      <w:pPr>
        <w:spacing w:after="120" w:before="260"/>
        <w:ind w:left="560" w:right="560"/>
      </w:pPr>
      <w:r>
        <w:rPr>
          <w:rFonts w:ascii="Consolas" w:cs="Consolas" w:eastAsia="Consolas" w:hAnsi="Consolas"/>
          <w:b/>
          <w:bCs/>
          <w:color w:val="A0703A"/>
          <w:spacing w:val="20"/>
          <w:sz w:val="17"/>
          <w:szCs w:val="17"/>
        </w:rPr>
        <w:t xml:space="preserve">PROJECT PORTFOLIO</w:t>
      </w:r>
    </w:p>
    <w:tbl>
      <w:tblPr>
        <w:tblW w:type="dxa" w:w="11120"/>
        <w:tblInd w:type="dxa" w:w="560"/>
        <w:tblBorders>
          <w:top w:val="none"/>
          <w:left w:val="none"/>
          <w:bottom w:val="none"/>
          <w:right w:val="none"/>
          <w:insideH w:val="none"/>
          <w:insideV w:val="none"/>
        </w:tblBorders>
        <w:tblLayout w:type="fixed"/>
      </w:tblPr>
      <w:tblGrid>
        <w:gridCol w:w="5470"/>
        <w:gridCol w:w="180"/>
        <w:gridCol w:w="5470"/>
      </w:tblGrid>
      <w:tr>
        <w:tc>
          <w:tcPr>
            <w:tcW w:type="dxa" w:w="5470"/>
            <w:tcBorders>
              <w:top w:val="single" w:color="1E4A38" w:sz="16"/>
              <w:left w:val="single" w:color="DDE3EA" w:sz="3"/>
              <w:bottom w:val="single" w:color="DDE3EA" w:sz="3"/>
              <w:right w:val="single" w:color="DDE3EA" w:sz="3"/>
            </w:tcBorders>
            <w:tcMar>
              <w:top w:type="dxa" w:w="130"/>
              <w:left w:type="dxa" w:w="170"/>
              <w:bottom w:type="dxa" w:w="130"/>
              <w:right w:type="dxa" w:w="170"/>
            </w:tcMar>
            <w:vAlign w:val="top"/>
          </w:tcPr>
          <w:p>
            <w:pPr>
              <w:spacing w:after="30"/>
            </w:pPr>
            <w:r>
              <w:rPr>
                <w:rFonts w:ascii="Calibri" w:cs="Calibri" w:eastAsia="Calibri" w:hAnsi="Calibri"/>
                <w:b/>
                <w:bCs/>
                <w:color w:val="13202F"/>
                <w:sz w:val="18"/>
                <w:szCs w:val="18"/>
              </w:rPr>
              <w:t xml:space="preserve">Refinery Heat-Exchanger Retrofit</w:t>
            </w:r>
          </w:p>
          <w:p>
            <w:r>
              <w:rPr>
                <w:rFonts w:ascii="Consolas" w:cs="Consolas" w:eastAsia="Consolas" w:hAnsi="Consolas"/>
                <w:color w:val="6F7D8C"/>
                <w:sz w:val="15"/>
                <w:szCs w:val="15"/>
              </w:rPr>
              <w:t xml:space="preserve">$32M · 18 mo · Lead PE</w:t>
            </w:r>
          </w:p>
        </w:tc>
        <w:tc>
          <w:tcPr>
            <w:tcW w:type="dxa" w:w="180"/>
            <w:tcBorders>
              <w:top w:val="none" w:color="FFFFFF" w:sz="0"/>
              <w:left w:val="none" w:color="FFFFFF" w:sz="0"/>
              <w:bottom w:val="none" w:color="FFFFFF" w:sz="0"/>
              <w:right w:val="none" w:color="FFFFFF" w:sz="0"/>
            </w:tcBorders>
          </w:tcPr>
          <w:p/>
        </w:tc>
        <w:tc>
          <w:tcPr>
            <w:tcW w:type="dxa" w:w="5470"/>
            <w:tcBorders>
              <w:top w:val="single" w:color="1E4A38" w:sz="16"/>
              <w:left w:val="single" w:color="DDE3EA" w:sz="3"/>
              <w:bottom w:val="single" w:color="DDE3EA" w:sz="3"/>
              <w:right w:val="single" w:color="DDE3EA" w:sz="3"/>
            </w:tcBorders>
            <w:tcMar>
              <w:top w:type="dxa" w:w="130"/>
              <w:left w:type="dxa" w:w="170"/>
              <w:bottom w:type="dxa" w:w="130"/>
              <w:right w:type="dxa" w:w="170"/>
            </w:tcMar>
            <w:vAlign w:val="top"/>
          </w:tcPr>
          <w:p>
            <w:pPr>
              <w:spacing w:after="30"/>
            </w:pPr>
            <w:r>
              <w:rPr>
                <w:rFonts w:ascii="Calibri" w:cs="Calibri" w:eastAsia="Calibri" w:hAnsi="Calibri"/>
                <w:b/>
                <w:bCs/>
                <w:color w:val="13202F"/>
                <w:sz w:val="18"/>
                <w:szCs w:val="18"/>
              </w:rPr>
              <w:t xml:space="preserve">Combined-Cycle Plant Upgrade</w:t>
            </w:r>
          </w:p>
          <w:p>
            <w:r>
              <w:rPr>
                <w:rFonts w:ascii="Consolas" w:cs="Consolas" w:eastAsia="Consolas" w:hAnsi="Consolas"/>
                <w:color w:val="6F7D8C"/>
                <w:sz w:val="15"/>
                <w:szCs w:val="15"/>
              </w:rPr>
              <w:t xml:space="preserve">$28M · 24 mo · PM</w:t>
            </w:r>
          </w:p>
        </w:tc>
      </w:tr>
      <w:tr>
        <w:tc>
          <w:tcPr>
            <w:tcBorders>
              <w:top w:val="none" w:color="FFFFFF" w:sz="0"/>
              <w:left w:val="none" w:color="FFFFFF" w:sz="0"/>
              <w:bottom w:val="none" w:color="FFFFFF" w:sz="0"/>
              <w:right w:val="none" w:color="FFFFFF" w:sz="0"/>
            </w:tcBorders>
            <w:tcMar>
              <w:top w:type="dxa" w:w="120"/>
            </w:tcMar>
          </w:tcPr>
          <w:p>
            <w:pPr>
              <w:spacing w:line="120" w:lineRule="exact"/>
            </w:pPr>
          </w:p>
        </w:tc>
        <w:tc>
          <w:tcPr>
            <w:tcBorders>
              <w:top w:val="none" w:color="FFFFFF" w:sz="0"/>
              <w:left w:val="none" w:color="FFFFFF" w:sz="0"/>
              <w:bottom w:val="none" w:color="FFFFFF" w:sz="0"/>
              <w:right w:val="none" w:color="FFFFFF" w:sz="0"/>
            </w:tcBorders>
          </w:tcPr>
          <w:p/>
        </w:tc>
        <w:tc>
          <w:tcPr>
            <w:tcBorders>
              <w:top w:val="none" w:color="FFFFFF" w:sz="0"/>
              <w:left w:val="none" w:color="FFFFFF" w:sz="0"/>
              <w:bottom w:val="none" w:color="FFFFFF" w:sz="0"/>
              <w:right w:val="none" w:color="FFFFFF" w:sz="0"/>
            </w:tcBorders>
          </w:tcPr>
          <w:p/>
        </w:tc>
      </w:tr>
      <w:tr>
        <w:tc>
          <w:tcPr>
            <w:tcW w:type="dxa" w:w="5470"/>
            <w:tcBorders>
              <w:top w:val="single" w:color="1E4A38" w:sz="16"/>
              <w:left w:val="single" w:color="DDE3EA" w:sz="3"/>
              <w:bottom w:val="single" w:color="DDE3EA" w:sz="3"/>
              <w:right w:val="single" w:color="DDE3EA" w:sz="3"/>
            </w:tcBorders>
            <w:tcMar>
              <w:top w:type="dxa" w:w="130"/>
              <w:left w:type="dxa" w:w="170"/>
              <w:bottom w:type="dxa" w:w="130"/>
              <w:right w:type="dxa" w:w="170"/>
            </w:tcMar>
            <w:vAlign w:val="top"/>
          </w:tcPr>
          <w:p>
            <w:pPr>
              <w:spacing w:after="30"/>
            </w:pPr>
            <w:r>
              <w:rPr>
                <w:rFonts w:ascii="Calibri" w:cs="Calibri" w:eastAsia="Calibri" w:hAnsi="Calibri"/>
                <w:b/>
                <w:bCs/>
                <w:color w:val="13202F"/>
                <w:sz w:val="18"/>
                <w:szCs w:val="18"/>
              </w:rPr>
              <w:t xml:space="preserve">Process Cooling-Water System</w:t>
            </w:r>
          </w:p>
          <w:p>
            <w:r>
              <w:rPr>
                <w:rFonts w:ascii="Consolas" w:cs="Consolas" w:eastAsia="Consolas" w:hAnsi="Consolas"/>
                <w:color w:val="6F7D8C"/>
                <w:sz w:val="15"/>
                <w:szCs w:val="15"/>
              </w:rPr>
              <w:t xml:space="preserve">$15M · 12 mo · Lead Engineer</w:t>
            </w:r>
          </w:p>
        </w:tc>
        <w:tc>
          <w:tcPr>
            <w:tcBorders>
              <w:top w:val="none" w:color="FFFFFF" w:sz="0"/>
              <w:left w:val="none" w:color="FFFFFF" w:sz="0"/>
              <w:bottom w:val="none" w:color="FFFFFF" w:sz="0"/>
              <w:right w:val="none" w:color="FFFFFF" w:sz="0"/>
            </w:tcBorders>
          </w:tcPr>
          <w:p/>
        </w:tc>
        <w:tc>
          <w:tcPr>
            <w:tcW w:type="dxa" w:w="5470"/>
            <w:tcBorders>
              <w:top w:val="single" w:color="1E4A38" w:sz="16"/>
              <w:left w:val="single" w:color="DDE3EA" w:sz="3"/>
              <w:bottom w:val="single" w:color="DDE3EA" w:sz="3"/>
              <w:right w:val="single" w:color="DDE3EA" w:sz="3"/>
            </w:tcBorders>
            <w:tcMar>
              <w:top w:type="dxa" w:w="130"/>
              <w:left w:type="dxa" w:w="170"/>
              <w:bottom w:type="dxa" w:w="130"/>
              <w:right w:type="dxa" w:w="170"/>
            </w:tcMar>
            <w:vAlign w:val="top"/>
          </w:tcPr>
          <w:p>
            <w:pPr>
              <w:spacing w:after="30"/>
            </w:pPr>
            <w:r>
              <w:rPr>
                <w:rFonts w:ascii="Calibri" w:cs="Calibri" w:eastAsia="Calibri" w:hAnsi="Calibri"/>
                <w:b/>
                <w:bCs/>
                <w:color w:val="13202F"/>
                <w:sz w:val="18"/>
                <w:szCs w:val="18"/>
              </w:rPr>
              <w:t xml:space="preserve">Compressor Station Expansion</w:t>
            </w:r>
          </w:p>
          <w:p>
            <w:r>
              <w:rPr>
                <w:rFonts w:ascii="Consolas" w:cs="Consolas" w:eastAsia="Consolas" w:hAnsi="Consolas"/>
                <w:color w:val="6F7D8C"/>
                <w:sz w:val="15"/>
                <w:szCs w:val="15"/>
              </w:rPr>
              <w:t xml:space="preserve">$10M · 10 mo · Project Eng.</w:t>
            </w:r>
          </w:p>
        </w:tc>
      </w:tr>
    </w:tbl>
    <w:p>
      <w:pPr>
        <w:spacing w:after="130" w:before="260"/>
        <w:ind w:left="560" w:right="560"/>
      </w:pPr>
      <w:r>
        <w:rPr>
          <w:rFonts w:ascii="Consolas" w:cs="Consolas" w:eastAsia="Consolas" w:hAnsi="Consolas"/>
          <w:b/>
          <w:bCs/>
          <w:color w:val="A0703A"/>
          <w:spacing w:val="20"/>
          <w:sz w:val="17"/>
          <w:szCs w:val="17"/>
        </w:rPr>
        <w:t xml:space="preserve">EXPERIENCE</w:t>
      </w:r>
    </w:p>
    <w:tbl>
      <w:tblPr>
        <w:tblW w:type="dxa" w:w="11120"/>
        <w:tblInd w:type="dxa" w:w="560"/>
        <w:tblBorders>
          <w:top w:val="none"/>
          <w:left w:val="none"/>
          <w:bottom w:val="none"/>
          <w:right w:val="none"/>
          <w:insideH w:val="none"/>
          <w:insideV w:val="none"/>
        </w:tblBorders>
        <w:tblLayout w:type="fixed"/>
      </w:tblPr>
      <w:tblGrid>
        <w:gridCol w:w="9420"/>
        <w:gridCol w:w="1700"/>
      </w:tblGrid>
      <w:tr>
        <w:tc>
          <w:tcPr>
            <w:tcW w:type="dxa" w:w="9420"/>
            <w:tcBorders>
              <w:top w:val="none" w:color="FFFFFF" w:sz="0"/>
              <w:left w:val="none" w:color="FFFFFF" w:sz="0"/>
              <w:bottom w:val="none" w:color="FFFFFF" w:sz="0"/>
              <w:right w:val="none" w:color="FFFFFF" w:sz="0"/>
            </w:tcBorders>
            <w:tcMar>
              <w:top w:type="dxa" w:w="0"/>
              <w:left w:type="dxa" w:w="0"/>
              <w:bottom w:type="dxa" w:w="0"/>
              <w:right w:type="dxa" w:w="0"/>
            </w:tcMar>
            <w:vAlign w:val="bottom"/>
          </w:tcPr>
          <w:p>
            <w:r>
              <w:rPr>
                <w:rFonts w:ascii="Calibri" w:cs="Calibri" w:eastAsia="Calibri" w:hAnsi="Calibri"/>
                <w:b/>
                <w:bCs/>
                <w:color w:val="13202F"/>
                <w:sz w:val="20"/>
                <w:szCs w:val="20"/>
              </w:rPr>
              <w:t xml:space="preserve">Engineering Manager</w:t>
            </w:r>
          </w:p>
        </w:tc>
        <w:tc>
          <w:tcPr>
            <w:tcW w:type="dxa" w:w="1700"/>
            <w:tcBorders>
              <w:top w:val="none" w:color="FFFFFF" w:sz="0"/>
              <w:left w:val="none" w:color="FFFFFF" w:sz="0"/>
              <w:bottom w:val="none" w:color="FFFFFF" w:sz="0"/>
              <w:right w:val="none" w:color="FFFFFF" w:sz="0"/>
            </w:tcBorders>
            <w:tcMar>
              <w:top w:type="dxa" w:w="0"/>
              <w:left w:type="dxa" w:w="0"/>
              <w:bottom w:type="dxa" w:w="0"/>
              <w:right w:type="dxa" w:w="0"/>
            </w:tcMar>
            <w:vAlign w:val="bottom"/>
          </w:tcPr>
          <w:p>
            <w:pPr>
              <w:jc w:val="right"/>
            </w:pPr>
            <w:r>
              <w:rPr>
                <w:rFonts w:ascii="Consolas" w:cs="Consolas" w:eastAsia="Consolas" w:hAnsi="Consolas"/>
                <w:b/>
                <w:bCs/>
                <w:color w:val="93A1B0"/>
                <w:sz w:val="16"/>
                <w:szCs w:val="16"/>
              </w:rPr>
              <w:t xml:space="preserve">2019 – Present</w:t>
            </w:r>
          </w:p>
        </w:tc>
      </w:tr>
    </w:tbl>
    <w:p>
      <w:pPr>
        <w:spacing w:after="40"/>
        <w:ind w:left="560" w:right="560"/>
      </w:pPr>
      <w:r>
        <w:rPr>
          <w:rFonts w:ascii="Calibri" w:cs="Calibri" w:eastAsia="Calibri" w:hAnsi="Calibri"/>
          <w:b/>
          <w:bCs/>
          <w:color w:val="1E4A38"/>
          <w:sz w:val="18"/>
          <w:szCs w:val="18"/>
        </w:rPr>
        <w:t xml:space="preserve">Bechtel — Houston, TX</w:t>
      </w:r>
    </w:p>
    <w:p>
      <w:pPr>
        <w:pStyle w:val="ListParagraph"/>
        <w:numPr>
          <w:ilvl w:val="0"/>
          <w:numId w:val="2"/>
        </w:numPr>
        <w:spacing w:after="30"/>
        <w:ind w:left="860" w:right="560" w:hanging="160"/>
      </w:pPr>
      <w:r>
        <w:rPr>
          <w:rFonts w:ascii="Calibri" w:cs="Calibri" w:eastAsia="Calibri" w:hAnsi="Calibri"/>
          <w:color w:val="36404D"/>
          <w:sz w:val="19"/>
          <w:szCs w:val="19"/>
        </w:rPr>
        <w:t xml:space="preserve">Manage a 22-engineer mechanical group delivering $85M in capital projects with 98% on-time completion.</w:t>
      </w:r>
    </w:p>
    <w:p>
      <w:pPr>
        <w:pStyle w:val="ListParagraph"/>
        <w:numPr>
          <w:ilvl w:val="0"/>
          <w:numId w:val="2"/>
        </w:numPr>
        <w:spacing w:after="30"/>
        <w:ind w:left="860" w:right="560" w:hanging="160"/>
      </w:pPr>
      <w:r>
        <w:rPr>
          <w:rFonts w:ascii="Calibri" w:cs="Calibri" w:eastAsia="Calibri" w:hAnsi="Calibri"/>
          <w:color w:val="36404D"/>
          <w:sz w:val="19"/>
          <w:szCs w:val="19"/>
        </w:rPr>
        <w:t xml:space="preserve">Own scope, schedule, and budget from FEED through commissioning; zero lost-time incidents.</w:t>
      </w:r>
    </w:p>
    <w:p>
      <w:pPr>
        <w:spacing w:after="110"/>
      </w:pPr>
    </w:p>
    <w:tbl>
      <w:tblPr>
        <w:tblW w:type="dxa" w:w="11120"/>
        <w:tblInd w:type="dxa" w:w="560"/>
        <w:tblBorders>
          <w:top w:val="none"/>
          <w:left w:val="none"/>
          <w:bottom w:val="none"/>
          <w:right w:val="none"/>
          <w:insideH w:val="none"/>
          <w:insideV w:val="none"/>
        </w:tblBorders>
        <w:tblLayout w:type="fixed"/>
      </w:tblPr>
      <w:tblGrid>
        <w:gridCol w:w="9420"/>
        <w:gridCol w:w="1700"/>
      </w:tblGrid>
      <w:tr>
        <w:tc>
          <w:tcPr>
            <w:tcW w:type="dxa" w:w="9420"/>
            <w:tcBorders>
              <w:top w:val="none" w:color="FFFFFF" w:sz="0"/>
              <w:left w:val="none" w:color="FFFFFF" w:sz="0"/>
              <w:bottom w:val="none" w:color="FFFFFF" w:sz="0"/>
              <w:right w:val="none" w:color="FFFFFF" w:sz="0"/>
            </w:tcBorders>
            <w:tcMar>
              <w:top w:type="dxa" w:w="0"/>
              <w:left w:type="dxa" w:w="0"/>
              <w:bottom w:type="dxa" w:w="0"/>
              <w:right w:type="dxa" w:w="0"/>
            </w:tcMar>
            <w:vAlign w:val="bottom"/>
          </w:tcPr>
          <w:p>
            <w:r>
              <w:rPr>
                <w:rFonts w:ascii="Calibri" w:cs="Calibri" w:eastAsia="Calibri" w:hAnsi="Calibri"/>
                <w:b/>
                <w:bCs/>
                <w:color w:val="13202F"/>
                <w:sz w:val="20"/>
                <w:szCs w:val="20"/>
              </w:rPr>
              <w:t xml:space="preserve">Project Engineer</w:t>
            </w:r>
          </w:p>
        </w:tc>
        <w:tc>
          <w:tcPr>
            <w:tcW w:type="dxa" w:w="1700"/>
            <w:tcBorders>
              <w:top w:val="none" w:color="FFFFFF" w:sz="0"/>
              <w:left w:val="none" w:color="FFFFFF" w:sz="0"/>
              <w:bottom w:val="none" w:color="FFFFFF" w:sz="0"/>
              <w:right w:val="none" w:color="FFFFFF" w:sz="0"/>
            </w:tcBorders>
            <w:tcMar>
              <w:top w:type="dxa" w:w="0"/>
              <w:left w:type="dxa" w:w="0"/>
              <w:bottom w:type="dxa" w:w="0"/>
              <w:right w:type="dxa" w:w="0"/>
            </w:tcMar>
            <w:vAlign w:val="bottom"/>
          </w:tcPr>
          <w:p>
            <w:pPr>
              <w:jc w:val="right"/>
            </w:pPr>
            <w:r>
              <w:rPr>
                <w:rFonts w:ascii="Consolas" w:cs="Consolas" w:eastAsia="Consolas" w:hAnsi="Consolas"/>
                <w:b/>
                <w:bCs/>
                <w:color w:val="93A1B0"/>
                <w:sz w:val="16"/>
                <w:szCs w:val="16"/>
              </w:rPr>
              <w:t xml:space="preserve">2013 – 2019</w:t>
            </w:r>
          </w:p>
        </w:tc>
      </w:tr>
    </w:tbl>
    <w:p>
      <w:pPr>
        <w:spacing w:after="40"/>
        <w:ind w:left="560" w:right="560"/>
      </w:pPr>
      <w:r>
        <w:rPr>
          <w:rFonts w:ascii="Calibri" w:cs="Calibri" w:eastAsia="Calibri" w:hAnsi="Calibri"/>
          <w:b/>
          <w:bCs/>
          <w:color w:val="1E4A38"/>
          <w:sz w:val="18"/>
          <w:szCs w:val="18"/>
        </w:rPr>
        <w:t xml:space="preserve">Fluor — Houston, TX</w:t>
      </w:r>
    </w:p>
    <w:p>
      <w:pPr>
        <w:pStyle w:val="ListParagraph"/>
        <w:numPr>
          <w:ilvl w:val="0"/>
          <w:numId w:val="2"/>
        </w:numPr>
        <w:spacing w:after="30"/>
        <w:ind w:left="860" w:right="560" w:hanging="160"/>
      </w:pPr>
      <w:r>
        <w:rPr>
          <w:rFonts w:ascii="Calibri" w:cs="Calibri" w:eastAsia="Calibri" w:hAnsi="Calibri"/>
          <w:color w:val="36404D"/>
          <w:sz w:val="19"/>
          <w:szCs w:val="19"/>
        </w:rPr>
        <w:t xml:space="preserve">Led mechanical design and field engineering for refinery and power projects.</w:t>
      </w:r>
    </w:p>
    <w:p>
      <w:pPr>
        <w:pStyle w:val="ListParagraph"/>
        <w:numPr>
          <w:ilvl w:val="0"/>
          <w:numId w:val="2"/>
        </w:numPr>
        <w:spacing w:after="30"/>
        <w:ind w:left="860" w:right="560" w:hanging="160"/>
      </w:pPr>
      <w:r>
        <w:rPr>
          <w:rFonts w:ascii="Calibri" w:cs="Calibri" w:eastAsia="Calibri" w:hAnsi="Calibri"/>
          <w:color w:val="36404D"/>
          <w:sz w:val="19"/>
          <w:szCs w:val="19"/>
        </w:rPr>
        <w:t xml:space="preserve">Earned PE license and progressed into project leadership.</w:t>
      </w:r>
    </w:p>
    <w:p>
      <w:pPr>
        <w:spacing w:after="60"/>
      </w:pPr>
    </w:p>
    <w:tbl>
      <w:tblPr>
        <w:tblW w:type="dxa" w:w="11120"/>
        <w:tblInd w:type="dxa" w:w="560"/>
        <w:tblBorders>
          <w:top w:val="single" w:color="E3E8EE" w:sz="4"/>
          <w:left w:val="none"/>
          <w:bottom w:val="none"/>
          <w:right w:val="none"/>
          <w:insideH w:val="none"/>
          <w:insideV w:val="none"/>
        </w:tblBorders>
        <w:tblLayout w:type="fixed"/>
      </w:tblPr>
      <w:tblGrid>
        <w:gridCol w:w="6486"/>
        <w:gridCol w:w="4634"/>
      </w:tblGrid>
      <w:tr>
        <w:tc>
          <w:tcPr>
            <w:tcW w:type="dxa" w:w="6486"/>
            <w:tcBorders>
              <w:top w:val="none" w:color="FFFFFF" w:sz="0"/>
              <w:left w:val="none" w:color="FFFFFF" w:sz="0"/>
              <w:bottom w:val="none" w:color="FFFFFF" w:sz="0"/>
              <w:right w:val="single" w:color="E3E8EE" w:sz="4"/>
            </w:tcBorders>
            <w:tcMar>
              <w:top w:type="dxa" w:w="140"/>
              <w:left w:type="dxa" w:w="0"/>
              <w:bottom w:type="dxa" w:w="40"/>
              <w:right w:type="dxa" w:w="230"/>
            </w:tcMar>
            <w:vAlign w:val="top"/>
          </w:tcPr>
          <w:p>
            <w:pPr>
              <w:spacing w:after="80"/>
            </w:pPr>
            <w:r>
              <w:rPr>
                <w:rFonts w:ascii="Consolas" w:cs="Consolas" w:eastAsia="Consolas" w:hAnsi="Consolas"/>
                <w:b/>
                <w:bCs/>
                <w:color w:val="A0703A"/>
                <w:spacing w:val="12"/>
                <w:sz w:val="15"/>
                <w:szCs w:val="15"/>
              </w:rPr>
              <w:t xml:space="preserve">SKILLS &amp; TOOLS</w:t>
            </w:r>
          </w:p>
          <w:p>
            <w:r>
              <w:rPr>
                <w:rFonts w:ascii="Calibri" w:cs="Calibri" w:eastAsia="Calibri" w:hAnsi="Calibri"/>
                <w:color w:val="36404D"/>
                <w:sz w:val="17"/>
                <w:szCs w:val="17"/>
              </w:rPr>
              <w:t xml:space="preserve">Project Management · FEED · Commissioning · Budgeting · AutoCAD · Primavera P6 · MS Project</w:t>
            </w:r>
          </w:p>
        </w:tc>
        <w:tc>
          <w:tcPr>
            <w:tcW w:type="dxa" w:w="4634"/>
            <w:tcBorders>
              <w:top w:val="none" w:color="FFFFFF" w:sz="0"/>
              <w:left w:val="none" w:color="FFFFFF" w:sz="0"/>
              <w:bottom w:val="none" w:color="FFFFFF" w:sz="0"/>
              <w:right w:val="none"/>
            </w:tcBorders>
            <w:tcMar>
              <w:top w:type="dxa" w:w="140"/>
              <w:left w:type="dxa" w:w="230"/>
              <w:bottom w:type="dxa" w:w="40"/>
              <w:right w:type="dxa" w:w="0"/>
            </w:tcMar>
            <w:vAlign w:val="top"/>
          </w:tcPr>
          <w:p>
            <w:pPr>
              <w:spacing w:after="80"/>
            </w:pPr>
            <w:r>
              <w:rPr>
                <w:rFonts w:ascii="Consolas" w:cs="Consolas" w:eastAsia="Consolas" w:hAnsi="Consolas"/>
                <w:b/>
                <w:bCs/>
                <w:color w:val="A0703A"/>
                <w:spacing w:val="12"/>
                <w:sz w:val="15"/>
                <w:szCs w:val="15"/>
              </w:rPr>
              <w:t xml:space="preserve">EDUCATION &amp; LICENSE</w:t>
            </w:r>
          </w:p>
          <w:p>
            <w:pPr>
              <w:spacing w:after="2"/>
            </w:pPr>
            <w:r>
              <w:rPr>
                <w:rFonts w:ascii="Calibri" w:cs="Calibri" w:eastAsia="Calibri" w:hAnsi="Calibri"/>
                <w:b/>
                <w:bCs/>
                <w:color w:val="13202F"/>
                <w:sz w:val="18"/>
                <w:szCs w:val="18"/>
              </w:rPr>
              <w:t xml:space="preserve">B.S., Mechanical Engineering</w:t>
            </w:r>
          </w:p>
          <w:p>
            <w:pPr>
              <w:spacing w:after="4"/>
            </w:pPr>
            <w:r>
              <w:rPr>
                <w:rFonts w:ascii="Calibri" w:cs="Calibri" w:eastAsia="Calibri" w:hAnsi="Calibri"/>
                <w:color w:val="7D8A98"/>
                <w:sz w:val="17"/>
                <w:szCs w:val="17"/>
              </w:rPr>
              <w:t xml:space="preserve">Texas A&amp;M University</w:t>
            </w:r>
          </w:p>
          <w:p>
            <w:r>
              <w:rPr>
                <w:rFonts w:ascii="Calibri" w:cs="Calibri" w:eastAsia="Calibri" w:hAnsi="Calibri"/>
                <w:color w:val="36404D"/>
                <w:sz w:val="17"/>
                <w:szCs w:val="17"/>
              </w:rPr>
              <w:t xml:space="preserve">PE · Texas · PMP</w:t>
            </w:r>
          </w:p>
        </w:tc>
      </w:tr>
    </w:tbl>
    <w:sectPr>
      <w:pgSz w:w="12240" w:h="15840" w:orient="portrait"/>
      <w:pgMar w:top="0" w:right="0" w:bottom="560" w:left="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30" w:hanging="1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6404D"/>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qz-uvnnfo9pntqnducb5l" Type="http://schemas.openxmlformats.org/officeDocument/2006/relationships/hyperlink" Target="mailto:j.okonkwo@email.com"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2026-06-22T04:15:52.173Z</dcterms:created>
  <dcterms:modified xsi:type="dcterms:W3CDTF">2026-06-22T04:15:52.173Z</dcterms:modified>
</cp:coreProperties>
</file>

<file path=docProps/custom.xml><?xml version="1.0" encoding="utf-8"?>
<Properties xmlns="http://schemas.openxmlformats.org/officeDocument/2006/custom-properties" xmlns:vt="http://schemas.openxmlformats.org/officeDocument/2006/docPropsVTypes"/>
</file>