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64A73" w:color="auto" w:val="clear"/>
            <w:tcMar>
              <w:top w:type="dxa" w:w="60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7"/>
                <w:szCs w:val="47"/>
              </w:rPr>
              <w:t xml:space="preserve">Aaliyah Carter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9FC0E4"/>
                <w:spacing w:val="12"/>
                <w:sz w:val="17"/>
                <w:szCs w:val="17"/>
              </w:rPr>
              <w:t xml:space="preserve">Administrative Medical Assistant</w:t>
            </w:r>
          </w:p>
          <w:p>
            <w:r>
              <w:rPr>
                <w:rFonts w:ascii="Calibri" w:cs="Calibri" w:eastAsia="Calibri" w:hAnsi="Calibri"/>
                <w:color w:val="A3B6CD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A3B6CD"/>
                <w:sz w:val="17"/>
                <w:szCs w:val="17"/>
              </w:rPr>
              <w:br/>
              <w:t xml:space="preserve">(404)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6jnzx-6bex_3bgnc0wnzv">
              <w:r>
                <w:rPr>
                  <w:rFonts w:ascii="Calibri" w:cs="Calibri" w:eastAsia="Calibri" w:hAnsi="Calibri"/>
                  <w:color w:val="CDD9E8"/>
                  <w:sz w:val="17"/>
                  <w:szCs w:val="17"/>
                  <w:u w:val="single"/>
                </w:rPr>
                <w:t xml:space="preserve">a.carter@email.com</w:t>
              </w:r>
            </w:hyperlink>
            <w:r>
              <w:rPr>
                <w:rFonts w:ascii="Calibri" w:cs="Calibri" w:eastAsia="Calibri" w:hAnsi="Calibri"/>
                <w:color w:val="A3B6CD"/>
                <w:sz w:val="17"/>
                <w:szCs w:val="17"/>
              </w:rPr>
              <w:br/>
              <w:t xml:space="preserve">in/aaliyahcarter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9FC0E4"/>
                <w:spacing w:val="14"/>
                <w:sz w:val="15"/>
                <w:szCs w:val="15"/>
              </w:rPr>
              <w:t xml:space="preserve">CREDENTIALS</w:t>
            </w: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2567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CMA (AAMA)</w:t>
                  </w:r>
                </w:p>
                <w:p>
                  <w:r>
                    <w:rPr>
                      <w:rFonts w:ascii="Calibri" w:cs="Calibri" w:eastAsia="Calibri" w:hAnsi="Calibri"/>
                      <w:color w:val="A3B6CD"/>
                      <w:sz w:val="15"/>
                      <w:szCs w:val="15"/>
                    </w:rPr>
                    <w:t xml:space="preserve">Certified · ID 71-44210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2567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BLS / CPR (AHA)</w:t>
                  </w:r>
                </w:p>
                <w:p>
                  <w:r>
                    <w:rPr>
                      <w:rFonts w:ascii="Calibri" w:cs="Calibri" w:eastAsia="Calibri" w:hAnsi="Calibri"/>
                      <w:color w:val="A3B6CD"/>
                      <w:sz w:val="15"/>
                      <w:szCs w:val="15"/>
                    </w:rPr>
                    <w:t xml:space="preserve">Valid thru 2026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2567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Medical Billing &amp; Coding</w:t>
                  </w:r>
                </w:p>
                <w:p>
                  <w:r>
                    <w:rPr>
                      <w:rFonts w:ascii="Calibri" w:cs="Calibri" w:eastAsia="Calibri" w:hAnsi="Calibri"/>
                      <w:color w:val="A3B6CD"/>
                      <w:sz w:val="15"/>
                      <w:szCs w:val="15"/>
                    </w:rPr>
                    <w:t xml:space="preserve">ICD-10 · CPT</w:t>
                  </w:r>
                </w:p>
              </w:tc>
            </w:tr>
          </w:tbl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9FC0E4"/>
                <w:spacing w:val="14"/>
                <w:sz w:val="15"/>
                <w:szCs w:val="15"/>
              </w:rPr>
              <w:t xml:space="preserve">EHR &amp; SOFTWARE</w:t>
            </w:r>
          </w:p>
          <w:p>
            <w:r>
              <w:rPr>
                <w:rFonts w:ascii="Calibri" w:cs="Calibri" w:eastAsia="Calibri" w:hAnsi="Calibri"/>
                <w:color w:val="CDD9E8"/>
                <w:sz w:val="17"/>
                <w:szCs w:val="17"/>
              </w:rPr>
              <w:t xml:space="preserve">Epic · athenahealth · NextGen · Kareo · Microsoft Office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9FC0E4"/>
                <w:spacing w:val="14"/>
                <w:sz w:val="15"/>
                <w:szCs w:val="15"/>
              </w:rPr>
              <w:t xml:space="preserve">ADMINISTRATIVE SKILLS</w:t>
            </w:r>
          </w:p>
          <w:p>
            <w:r>
              <w:rPr>
                <w:rFonts w:ascii="Calibri" w:cs="Calibri" w:eastAsia="Calibri" w:hAnsi="Calibri"/>
                <w:color w:val="CDD9E8"/>
                <w:sz w:val="17"/>
                <w:szCs w:val="17"/>
              </w:rPr>
              <w:t xml:space="preserve">Scheduling · Insurance verification · Prior authorizations · Billing &amp; claims · Patient registration · Medical records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9FC0E4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Medical Assisting, A.A.S.</w:t>
            </w:r>
          </w:p>
          <w:p>
            <w:r>
              <w:rPr>
                <w:rFonts w:ascii="Calibri" w:cs="Calibri" w:eastAsia="Calibri" w:hAnsi="Calibri"/>
                <w:color w:val="A3B6CD"/>
                <w:sz w:val="17"/>
                <w:szCs w:val="17"/>
              </w:rPr>
              <w:t xml:space="preserve">Gwinnett Technical College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Administrative medical assistant who keeps the front office running and the revenue flowing. 7 years managing scheduling, insurance, and billing for high-volume practices. I verify benefits before the visit, code clean claims, and make every patient’s first impression a good one.</w:t>
            </w:r>
          </w:p>
          <w:p>
            <w:pPr>
              <w:spacing w:after="130" w:before="0"/>
            </w:pPr>
            <w:r>
              <w:rPr>
                <w:rFonts w:ascii="Georgia" w:cs="Georgia" w:eastAsia="Georgia" w:hAnsi="Georgia"/>
                <w:b/>
                <w:bCs/>
                <w:color w:val="264A73"/>
                <w:sz w:val="24"/>
                <w:szCs w:val="24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8324F"/>
                      <w:sz w:val="20"/>
                      <w:szCs w:val="20"/>
                    </w:rPr>
                    <w:t xml:space="preserve">Administrative Medical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64A73"/>
                <w:sz w:val="18"/>
                <w:szCs w:val="18"/>
              </w:rPr>
              <w:t xml:space="preserve">Piedmont Healthcare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scheduling and registration for a six-provider clinic seeing 120+ patients a day.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Verify insurance and obtain prior authorizations, cutting claim denials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Post charges and submit ICD-10/CPT-coded claims with a 98% clean-claim rate.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8324F"/>
                      <w:sz w:val="20"/>
                      <w:szCs w:val="20"/>
                    </w:rPr>
                    <w:t xml:space="preserve">Front Office Medical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64A73"/>
                <w:sz w:val="18"/>
                <w:szCs w:val="18"/>
              </w:rPr>
              <w:t xml:space="preserve">Emory Clinic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Checked patients in/out, collected copays, and managed medical records in Epic.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Coordinated referrals and follow-up appointments across specialties.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8324F"/>
                      <w:sz w:val="20"/>
                      <w:szCs w:val="20"/>
                    </w:rPr>
                    <w:t xml:space="preserve">Patient Services Representative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64A73"/>
                <w:sz w:val="18"/>
                <w:szCs w:val="18"/>
              </w:rPr>
              <w:t xml:space="preserve">Kaiser Permanente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Answered a high-volume phone queue and scheduled appointments accurately.</w:t>
            </w:r>
          </w:p>
          <w:p>
            <w:pPr>
              <w:spacing w:after="60"/>
            </w:pPr>
          </w:p>
          <w:tbl>
            <w:tblPr>
              <w:tblW w:type="dxa" w:w="7100"/>
              <w:tblBorders>
                <w:top w:val="single" w:color="E5E9EF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64A73"/>
                      <w:spacing w:val="14"/>
                      <w:sz w:val="17"/>
                      <w:szCs w:val="17"/>
                    </w:rPr>
                    <w:t xml:space="preserve">STRENGTHS</w:t>
                  </w:r>
                </w:p>
                <w:p>
                  <w:r>
                    <w:rPr>
                      <w:rFonts w:ascii="Calibri" w:cs="Calibri" w:eastAsia="Calibri" w:hAnsi="Calibri"/>
                      <w:color w:val="384350"/>
                      <w:sz w:val="18"/>
                      <w:szCs w:val="18"/>
                    </w:rPr>
                    <w:t xml:space="preserve">Insurance Verification · Revenue Cycle · Patient Experience · HIPAA · Multi-line Phones · Bilingual (Spanish)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jnzx-6bex_3bgnc0wnzv" Type="http://schemas.openxmlformats.org/officeDocument/2006/relationships/hyperlink" Target="mailto:a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2026-06-19T23:08:58.174Z</dcterms:created>
  <dcterms:modified xsi:type="dcterms:W3CDTF">2026-06-19T23:08:58.174Z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