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single" w:color="6B4BA3" w:sz="16"/>
          <w:right w:val="none"/>
          <w:insideH w:val="none"/>
          <w:insideV w:val="none"/>
        </w:tblBorders>
        <w:tblLayout w:type="fixed"/>
      </w:tblPr>
      <w:tblGrid>
        <w:gridCol w:w="7100"/>
        <w:gridCol w:w="5140"/>
      </w:tblGrid>
      <w:tr>
        <w:tc>
          <w:tcPr>
            <w:tcW w:type="dxa" w:w="7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eorgia" w:cs="Georgia" w:eastAsia="Georgia" w:hAnsi="Georgia"/>
                <w:color w:val="231D2E"/>
                <w:sz w:val="54"/>
                <w:szCs w:val="54"/>
              </w:rPr>
              <w:t xml:space="preserve">Daniel Nguyen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6B4BA3"/>
                <w:spacing w:val="22"/>
                <w:sz w:val="18"/>
                <w:szCs w:val="18"/>
              </w:rPr>
              <w:t xml:space="preserve">PEDIATRIC MEDICAL ASSISTANT, RMA</w:t>
            </w:r>
          </w:p>
        </w:tc>
        <w:tc>
          <w:tcPr>
            <w:tcW w:type="dxa" w:w="5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t xml:space="preserve">San Diego, CA</w:t>
            </w:r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br/>
              <w:t xml:space="preserve">(619)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nezswbhqmpmsbp_feswht">
              <w:r>
                <w:rPr>
                  <w:rFonts w:ascii="Calibri" w:cs="Calibri" w:eastAsia="Calibri" w:hAnsi="Calibri"/>
                  <w:color w:val="6B4BA3"/>
                  <w:sz w:val="17"/>
                  <w:szCs w:val="17"/>
                  <w:u w:val="single"/>
                </w:rPr>
                <w:t xml:space="preserve">d.nguyen@email.com</w:t>
              </w:r>
            </w:hyperlink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br/>
              <w:t xml:space="preserve">in/danielnguyen</w:t>
            </w:r>
          </w:p>
        </w:tc>
      </w:tr>
    </w:tbl>
    <w:p>
      <w:pPr>
        <w:spacing w:after="20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37"/>
        <w:gridCol w:w="150"/>
        <w:gridCol w:w="2637"/>
        <w:gridCol w:w="150"/>
        <w:gridCol w:w="2637"/>
        <w:gridCol w:w="150"/>
        <w:gridCol w:w="2637"/>
      </w:tblGrid>
      <w:tr>
        <w:tc>
          <w:tcPr>
            <w:tcW w:type="dxa" w:w="2637"/>
            <w:tcBorders>
              <w:top w:val="single" w:color="DDD0EE" w:sz="4"/>
              <w:left w:val="single" w:color="6B4BA3" w:sz="18"/>
              <w:bottom w:val="single" w:color="DDD0EE" w:sz="4"/>
              <w:right w:val="single" w:color="DDD0EE" w:sz="4"/>
            </w:tcBorders>
            <w:shd w:fill="F4F0FA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8A8195"/>
                <w:spacing w:val="5"/>
                <w:sz w:val="13"/>
                <w:szCs w:val="13"/>
              </w:rPr>
              <w:t xml:space="preserve">CERTIFICATION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231D2E"/>
                <w:sz w:val="19"/>
                <w:szCs w:val="19"/>
              </w:rPr>
              <w:t xml:space="preserve">RMA (AMT)</w:t>
            </w:r>
          </w:p>
          <w:p>
            <w:r>
              <w:rPr>
                <w:rFonts w:ascii="Calibri" w:cs="Calibri" w:eastAsia="Calibri" w:hAnsi="Calibri"/>
                <w:color w:val="8A8195"/>
                <w:sz w:val="14"/>
                <w:szCs w:val="14"/>
              </w:rPr>
              <w:t xml:space="preserve">ID R-298104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DDD0EE" w:sz="4"/>
              <w:left w:val="single" w:color="6B4BA3" w:sz="18"/>
              <w:bottom w:val="single" w:color="DDD0EE" w:sz="4"/>
              <w:right w:val="single" w:color="DDD0EE" w:sz="4"/>
            </w:tcBorders>
            <w:shd w:fill="F4F0FA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8A8195"/>
                <w:spacing w:val="5"/>
                <w:sz w:val="13"/>
                <w:szCs w:val="13"/>
              </w:rPr>
              <w:t xml:space="preserve">PEDIATRIC SUPPORT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231D2E"/>
                <w:sz w:val="19"/>
                <w:szCs w:val="19"/>
              </w:rPr>
              <w:t xml:space="preserve">PALS · BLS</w:t>
            </w:r>
          </w:p>
          <w:p>
            <w:r>
              <w:rPr>
                <w:rFonts w:ascii="Calibri" w:cs="Calibri" w:eastAsia="Calibri" w:hAnsi="Calibri"/>
                <w:color w:val="8A8195"/>
                <w:sz w:val="14"/>
                <w:szCs w:val="14"/>
              </w:rPr>
              <w:t xml:space="preserve">AHA · Valid 2027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DDD0EE" w:sz="4"/>
              <w:left w:val="single" w:color="6B4BA3" w:sz="18"/>
              <w:bottom w:val="single" w:color="DDD0EE" w:sz="4"/>
              <w:right w:val="single" w:color="DDD0EE" w:sz="4"/>
            </w:tcBorders>
            <w:shd w:fill="F4F0FA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8A8195"/>
                <w:spacing w:val="5"/>
                <w:sz w:val="13"/>
                <w:szCs w:val="13"/>
              </w:rPr>
              <w:t xml:space="preserve">EXPERIENCE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231D2E"/>
                <w:sz w:val="19"/>
                <w:szCs w:val="19"/>
              </w:rPr>
              <w:t xml:space="preserve">8 Years</w:t>
            </w:r>
          </w:p>
          <w:p>
            <w:r>
              <w:rPr>
                <w:rFonts w:ascii="Calibri" w:cs="Calibri" w:eastAsia="Calibri" w:hAnsi="Calibri"/>
                <w:color w:val="8A8195"/>
                <w:sz w:val="14"/>
                <w:szCs w:val="14"/>
              </w:rPr>
              <w:t xml:space="preserve">Pediatrics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DDD0EE" w:sz="4"/>
              <w:left w:val="single" w:color="6B4BA3" w:sz="18"/>
              <w:bottom w:val="single" w:color="DDD0EE" w:sz="4"/>
              <w:right w:val="single" w:color="DDD0EE" w:sz="4"/>
            </w:tcBorders>
            <w:shd w:fill="F4F0FA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8A8195"/>
                <w:spacing w:val="5"/>
                <w:sz w:val="13"/>
                <w:szCs w:val="13"/>
              </w:rPr>
              <w:t xml:space="preserve">LANGUAGES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231D2E"/>
                <w:sz w:val="19"/>
                <w:szCs w:val="19"/>
              </w:rPr>
              <w:t xml:space="preserve">EN · VI</w:t>
            </w:r>
          </w:p>
          <w:p>
            <w:r>
              <w:rPr>
                <w:rFonts w:ascii="Calibri" w:cs="Calibri" w:eastAsia="Calibri" w:hAnsi="Calibri"/>
                <w:color w:val="8A8195"/>
                <w:sz w:val="14"/>
                <w:szCs w:val="14"/>
              </w:rPr>
              <w:t xml:space="preserve">Bilingual</w:t>
            </w:r>
          </w:p>
        </w:tc>
      </w:tr>
    </w:tbl>
    <w:p>
      <w:pPr>
        <w:spacing w:after="180" w:before="220"/>
      </w:pPr>
      <w:r>
        <w:rPr>
          <w:rFonts w:ascii="Calibri" w:cs="Calibri" w:eastAsia="Calibri" w:hAnsi="Calibri"/>
          <w:color w:val="3A3447"/>
          <w:sz w:val="20"/>
          <w:szCs w:val="20"/>
        </w:rPr>
        <w:t xml:space="preserve">Registered medical assistant specializing in pediatrics, with 8 years caring for newborns through adolescents. Skilled at weight-based dosing, immunization schedules, and developmental screening — and gifted at keeping anxious kids (and parents) calm. The MA the families ask for by name.</w:t>
      </w:r>
    </w:p>
    <w:tbl>
      <w:tblPr>
        <w:tblW w:type="dxa" w:w="11000"/>
        <w:tblBorders>
          <w:top w:val="single" w:color="DDD0EE" w:sz="4"/>
          <w:left w:val="single" w:color="DDD0EE" w:sz="4"/>
          <w:bottom w:val="single" w:color="DDD0EE" w:sz="4"/>
          <w:right w:val="single" w:color="DDD0EE" w:sz="4"/>
          <w:insideH w:val="none"/>
          <w:insideV w:val="none"/>
        </w:tblBorders>
        <w:tblLayout w:type="fixed"/>
      </w:tblPr>
      <w:tblGrid>
        <w:gridCol w:w="5500"/>
        <w:gridCol w:w="550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single" w:color="DDD0EE" w:sz="4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6B4BA3"/>
                <w:spacing w:val="8"/>
                <w:sz w:val="17"/>
                <w:szCs w:val="17"/>
              </w:rPr>
              <w:t xml:space="preserve">＋ PEDIATRIC CLINICAL</w:t>
            </w:r>
          </w:p>
          <w:p>
            <w:r>
              <w:rPr>
                <w:rFonts w:ascii="Calibri" w:cs="Calibri" w:eastAsia="Calibri" w:hAnsi="Calibri"/>
                <w:color w:val="3A3447"/>
                <w:sz w:val="18"/>
                <w:szCs w:val="18"/>
              </w:rPr>
              <w:t xml:space="preserve">Growth &amp; vitals · Immunizations &amp; VIS · Weight-based dosing · Vision/hearing screening · Newborn care · Nebulizer treatments · Developmental screening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6B4BA3"/>
                <w:spacing w:val="8"/>
                <w:sz w:val="17"/>
                <w:szCs w:val="17"/>
              </w:rPr>
              <w:t xml:space="preserve">＋ ADMINISTRATIVE</w:t>
            </w:r>
          </w:p>
          <w:p>
            <w:r>
              <w:rPr>
                <w:rFonts w:ascii="Calibri" w:cs="Calibri" w:eastAsia="Calibri" w:hAnsi="Calibri"/>
                <w:color w:val="3A3447"/>
                <w:sz w:val="18"/>
                <w:szCs w:val="18"/>
              </w:rPr>
              <w:t xml:space="preserve">EHR (Epic) · Well-child scheduling · Vaccine inventory (VFC) · Referrals · Insurance · Parent communication</w:t>
            </w:r>
          </w:p>
        </w:tc>
      </w:tr>
    </w:tbl>
    <w:p>
      <w:pPr>
        <w:spacing w:after="130" w:before="200"/>
      </w:pPr>
      <w:r>
        <w:rPr>
          <w:rFonts w:ascii="Georgia" w:cs="Georgia" w:eastAsia="Georgia" w:hAnsi="Georgia"/>
          <w:b/>
          <w:bCs/>
          <w:color w:val="6B4BA3"/>
          <w:sz w:val="24"/>
          <w:szCs w:val="24"/>
        </w:rPr>
        <w:t xml:space="preserve">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D2E"/>
                <w:sz w:val="20"/>
                <w:szCs w:val="20"/>
              </w:rPr>
              <w:t xml:space="preserve">Pediatric Medical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3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6B4BA3"/>
          <w:sz w:val="18"/>
          <w:szCs w:val="18"/>
        </w:rPr>
        <w:t xml:space="preserve">Rady Children’s Hospital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3447"/>
          <w:sz w:val="19"/>
          <w:szCs w:val="19"/>
        </w:rPr>
        <w:t xml:space="preserve">Room and assess 35+ pediatric patients daily, plotting growth and administering immunizations per CDC schedule.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3447"/>
          <w:sz w:val="19"/>
          <w:szCs w:val="19"/>
        </w:rPr>
        <w:t xml:space="preserve">Manage the VFC vaccine inventory with 100% accuracy on logs and temperature monitoring.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3447"/>
          <w:sz w:val="19"/>
          <w:szCs w:val="19"/>
        </w:rPr>
        <w:t xml:space="preserve">Translate for Vietnamese-speaking families, improving visit comprehension and follow-through.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D2E"/>
                <w:sz w:val="20"/>
                <w:szCs w:val="20"/>
              </w:rPr>
              <w:t xml:space="preserve">Medical Assistant — Pediatrics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3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6B4BA3"/>
          <w:sz w:val="18"/>
          <w:szCs w:val="18"/>
        </w:rPr>
        <w:t xml:space="preserve">Children’s Primary Care Medical Group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3447"/>
          <w:sz w:val="19"/>
          <w:szCs w:val="19"/>
        </w:rPr>
        <w:t xml:space="preserve">Performed vision/hearing screenings and nebulizer treatments for a busy pediatric practice.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3447"/>
          <w:sz w:val="19"/>
          <w:szCs w:val="19"/>
        </w:rPr>
        <w:t xml:space="preserve">Coached new MAs on pediatric rooming and atraumatic injection technique.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D2E"/>
                <w:sz w:val="20"/>
                <w:szCs w:val="20"/>
              </w:rPr>
              <w:t xml:space="preserve">Medical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3"/>
                <w:sz w:val="17"/>
                <w:szCs w:val="17"/>
              </w:rPr>
              <w:t xml:space="preserve">2015 – 2016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6B4BA3"/>
          <w:sz w:val="18"/>
          <w:szCs w:val="18"/>
        </w:rPr>
        <w:t xml:space="preserve">Scripps Clinic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3447"/>
          <w:sz w:val="19"/>
          <w:szCs w:val="19"/>
        </w:rPr>
        <w:t xml:space="preserve">Supported family-medicine providers with rooming, vitals, and injections.</w:t>
      </w:r>
    </w:p>
    <w:p>
      <w:pPr>
        <w:spacing w:after="60"/>
      </w:pPr>
    </w:p>
    <w:tbl>
      <w:tblPr>
        <w:tblW w:type="dxa" w:w="11000"/>
        <w:tblBorders>
          <w:top w:val="single" w:color="ECE5F3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99"/>
        <w:gridCol w:w="5001"/>
      </w:tblGrid>
      <w:tr>
        <w:tc>
          <w:tcPr>
            <w:tcW w:type="dxa" w:w="5999"/>
            <w:tcBorders>
              <w:top w:val="none" w:color="FFFFFF" w:sz="0"/>
              <w:left w:val="none" w:color="FFFFFF" w:sz="0"/>
              <w:bottom w:val="none" w:color="FFFFFF" w:sz="0"/>
              <w:right w:val="single" w:color="ECE5F3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6B4BA3"/>
                <w:spacing w:val="14"/>
                <w:sz w:val="17"/>
                <w:szCs w:val="17"/>
              </w:rPr>
              <w:t xml:space="preserve">EHR &amp; SYSTEMS</w:t>
            </w:r>
          </w:p>
          <w:p>
            <w:r>
              <w:rPr>
                <w:rFonts w:ascii="Calibri" w:cs="Calibri" w:eastAsia="Calibri" w:hAnsi="Calibri"/>
                <w:color w:val="3A3447"/>
                <w:sz w:val="18"/>
                <w:szCs w:val="18"/>
              </w:rPr>
              <w:t xml:space="preserve">Epic · Cerner · PCC (Pediatric)</w:t>
            </w:r>
          </w:p>
        </w:tc>
        <w:tc>
          <w:tcPr>
            <w:tcW w:type="dxa" w:w="50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6B4BA3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231D2E"/>
                <w:sz w:val="18"/>
                <w:szCs w:val="18"/>
              </w:rPr>
              <w:t xml:space="preserve">Medical Assistant Diploma</w:t>
            </w:r>
          </w:p>
          <w:p>
            <w:r>
              <w:rPr>
                <w:rFonts w:ascii="Calibri" w:cs="Calibri" w:eastAsia="Calibri" w:hAnsi="Calibri"/>
                <w:color w:val="8A8195"/>
                <w:sz w:val="17"/>
                <w:szCs w:val="17"/>
              </w:rPr>
              <w:t xml:space="preserve">UEI College, San Diego</w:t>
            </w:r>
          </w:p>
        </w:tc>
      </w:tr>
    </w:tbl>
    <w:sectPr>
      <w:pgSz w:w="12240" w:h="15840" w:orient="portrait"/>
      <w:pgMar w:top="620" w:right="620" w:bottom="60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344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ezswbhqmpmsbp_feswht" Type="http://schemas.openxmlformats.org/officeDocument/2006/relationships/hyperlink" Target="mailto:d.nguy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2026-06-19T23:08:58.188Z</dcterms:created>
  <dcterms:modified xsi:type="dcterms:W3CDTF">2026-06-19T23:08:58.188Z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