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3433A" w:color="auto" w:val="clear"/>
        <w:spacing w:after="0" w:before="0"/>
        <w:ind w:left="840" w:right="840"/>
      </w:pPr>
      <w:r>
        <w:rPr>
          <w:sz w:val="14"/>
          <w:szCs w:val="14"/>
        </w:rPr>
        <w:t xml:space="preserve"/>
      </w:r>
      <w:r>
        <w:rPr>
          <w:rFonts w:ascii="Garamond" w:cs="Garamond" w:eastAsia="Garamond" w:hAnsi="Garamond"/>
          <w:color w:val="EEF0E8"/>
          <w:sz w:val="60"/>
          <w:szCs w:val="60"/>
        </w:rPr>
        <w:br/>
        <w:t xml:space="preserve">Jonathan Reyes</w:t>
      </w:r>
      <w:r>
        <w:rPr>
          <w:rFonts w:ascii="Calibri" w:cs="Calibri" w:eastAsia="Calibri" w:hAnsi="Calibri"/>
          <w:color w:val="C9A44E"/>
          <w:spacing w:val="55"/>
          <w:sz w:val="20"/>
          <w:szCs w:val="20"/>
        </w:rPr>
        <w:br/>
        <w:t xml:space="preserve">FINANCE DIRECTOR</w:t>
      </w:r>
      <w:r>
        <w:rPr>
          <w:rFonts w:ascii="Calibri" w:cs="Calibri" w:eastAsia="Calibri" w:hAnsi="Calibri"/>
          <w:color w:val="CDD6CF"/>
          <w:sz w:val="19"/>
          <w:szCs w:val="19"/>
        </w:rPr>
        <w:br/>
        <w:t xml:space="preserve">Phoenix, AZ  ·  (602) 555-0145  ·  </w:t>
      </w:r>
      <w:hyperlink w:history="1" r:id="rIdrqkhffmsbidxgcyl0nbvj">
        <w:r>
          <w:rPr>
            <w:rFonts w:ascii="Calibri" w:cs="Calibri" w:eastAsia="Calibri" w:hAnsi="Calibri"/>
            <w:color w:val="FFFFFF"/>
            <w:sz w:val="19"/>
            <w:szCs w:val="19"/>
            <w:u w:val="single"/>
          </w:rPr>
          <w:t xml:space="preserve">jonathan.reyes@email.com</w:t>
        </w:r>
      </w:hyperlink>
      <w:r>
        <w:rPr>
          <w:sz w:val="14"/>
          <w:szCs w:val="14"/>
        </w:rPr>
        <w:br/>
        <w:t xml:space="preserve"/>
      </w:r>
    </w:p>
    <w:p>
      <w:pPr>
        <w:spacing w:after="140" w:before="360"/>
        <w:ind w:left="840" w:right="840"/>
      </w:pPr>
      <w:r>
        <w:rPr>
          <w:rFonts w:ascii="Calibri" w:cs="Calibri" w:eastAsia="Calibri" w:hAnsi="Calibri"/>
          <w:color w:val="403C34"/>
          <w:sz w:val="20"/>
          <w:szCs w:val="20"/>
        </w:rPr>
        <w:t xml:space="preserve">Strategic finance leader with 13 years guiding growth-stage and enterprise companies. I build forecasting and FP&amp;A functions, sharpen unit economics, and give executives the numbers to make confident decisions.</w:t>
      </w:r>
    </w:p>
    <w:p>
      <w:pPr>
        <w:pBdr>
          <w:bottom w:val="single" w:color="D8B96E" w:sz="12" w:space="3"/>
        </w:pBdr>
        <w:spacing w:after="80" w:before="260"/>
        <w:ind w:left="840" w:right="840"/>
      </w:pPr>
      <w:r>
        <w:rPr>
          <w:rFonts w:ascii="Calibri" w:cs="Calibri" w:eastAsia="Calibri" w:hAnsi="Calibri"/>
          <w:b/>
          <w:bCs/>
          <w:color w:val="13433A"/>
          <w:spacing w:val="40"/>
          <w:sz w:val="19"/>
          <w:szCs w:val="19"/>
        </w:rPr>
        <w:t xml:space="preserve">EXPERIENCE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60"/>
        <w:gridCol w:w="1700"/>
      </w:tblGrid>
      <w:tr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B18"/>
                <w:sz w:val="22"/>
                <w:szCs w:val="22"/>
              </w:rPr>
              <w:t xml:space="preserve">Finance Director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384"/>
                <w:sz w:val="18"/>
                <w:szCs w:val="18"/>
              </w:rPr>
              <w:t xml:space="preserve">2018 – Present</w:t>
            </w:r>
          </w:p>
        </w:tc>
      </w:tr>
    </w:tbl>
    <w:p>
      <w:pPr>
        <w:spacing w:after="5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13433A"/>
          <w:sz w:val="19"/>
          <w:szCs w:val="19"/>
        </w:rPr>
        <w:t xml:space="preserve">Meridian Health Systems — Phoenix, AZ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Lead FP&amp;A and a team of eight across a $220M operating budget.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Built a driver-based forecasting model that cut variance to under 3%.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Partnered on two acquisitions and a refinancing that saved $4.1M annually.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60"/>
        <w:gridCol w:w="1700"/>
      </w:tblGrid>
      <w:tr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B18"/>
                <w:sz w:val="22"/>
                <w:szCs w:val="22"/>
              </w:rPr>
              <w:t xml:space="preserve">Senior Finance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384"/>
                <w:sz w:val="18"/>
                <w:szCs w:val="18"/>
              </w:rPr>
              <w:t xml:space="preserve">2014 – 2018</w:t>
            </w:r>
          </w:p>
        </w:tc>
      </w:tr>
    </w:tbl>
    <w:p>
      <w:pPr>
        <w:spacing w:after="5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13433A"/>
          <w:sz w:val="19"/>
          <w:szCs w:val="19"/>
        </w:rPr>
        <w:t xml:space="preserve">Aero Components Inc. — Phoenix, AZ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Owned budgeting, monthly close, and board reporting for a $90M division.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Implemented a new ERP reporting layer adopted company-wide.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60"/>
        <w:gridCol w:w="1700"/>
      </w:tblGrid>
      <w:tr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B18"/>
                <w:sz w:val="22"/>
                <w:szCs w:val="22"/>
              </w:rPr>
              <w:t xml:space="preserve">Financial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384"/>
                <w:sz w:val="18"/>
                <w:szCs w:val="18"/>
              </w:rPr>
              <w:t xml:space="preserve">2011 – 2014</w:t>
            </w:r>
          </w:p>
        </w:tc>
      </w:tr>
    </w:tbl>
    <w:p>
      <w:pPr>
        <w:spacing w:after="5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13433A"/>
          <w:sz w:val="19"/>
          <w:szCs w:val="19"/>
        </w:rPr>
        <w:t xml:space="preserve">Crestline Capital — Denver, CO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Modeled valuations and supported diligence on mid-market transactions.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80"/>
        <w:gridCol w:w="5280"/>
      </w:tblGrid>
      <w:tr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80"/>
            </w:tcMar>
            <w:vAlign w:val="top"/>
          </w:tcPr>
          <w:p>
            <w:pPr>
              <w:pBdr>
                <w:bottom w:val="single" w:color="D8B96E" w:sz="12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13433A"/>
                <w:spacing w:val="40"/>
                <w:sz w:val="19"/>
                <w:szCs w:val="19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403C34"/>
                <w:sz w:val="19"/>
                <w:szCs w:val="19"/>
              </w:rPr>
              <w:t xml:space="preserve">FP&amp;A · Forecasting &amp; Modeling · Budgeting · M&amp;A Support · Board Reporting · Cost Optimization</w:t>
            </w:r>
          </w:p>
        </w:tc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8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8B96E" w:sz="12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13433A"/>
                <w:spacing w:val="40"/>
                <w:sz w:val="19"/>
                <w:szCs w:val="19"/>
              </w:rPr>
              <w:t xml:space="preserve">EDUCATION &amp; CREDENTIALS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03C34"/>
                <w:sz w:val="19"/>
                <w:szCs w:val="19"/>
              </w:rPr>
              <w:t xml:space="preserve">MBA, Finance — Arizona State · 2011</w:t>
            </w:r>
            <w:r>
              <w:rPr>
                <w:rFonts w:ascii="Calibri" w:cs="Calibri" w:eastAsia="Calibri" w:hAnsi="Calibri"/>
                <w:color w:val="403C34"/>
                <w:sz w:val="19"/>
                <w:szCs w:val="19"/>
              </w:rPr>
              <w:br/>
              <w:t xml:space="preserve">B.S., Accounting — U. of Arizona · 2008</w:t>
            </w:r>
            <w:r>
              <w:rPr>
                <w:rFonts w:ascii="Calibri" w:cs="Calibri" w:eastAsia="Calibri" w:hAnsi="Calibri"/>
                <w:color w:val="403C34"/>
                <w:sz w:val="19"/>
                <w:szCs w:val="19"/>
              </w:rPr>
              <w:br/>
              <w:t xml:space="preserve">CPA · CFA Level II Candidate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03C3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qkhffmsbidxgcyl0nbvj" Type="http://schemas.openxmlformats.org/officeDocument/2006/relationships/hyperlink" Target="mailto:jonathan.rey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2026-06-16T22:37:00.452Z</dcterms:created>
  <dcterms:modified xsi:type="dcterms:W3CDTF">2026-06-16T22:37:00.452Z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