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40"/>
        <w:gridCol w:w="8200"/>
      </w:tblGrid>
      <w:tr>
        <w:trPr>
          <w:trHeight w:val="14600" w:hRule="atLeast"/>
        </w:trPr>
        <w:tc>
          <w:tcPr>
            <w:tcW w:type="dxa" w:w="4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color="auto" w:val="clear"/>
            <w:tcMar>
              <w:top w:type="dxa" w:w="600"/>
              <w:left w:type="dxa" w:w="440"/>
              <w:bottom w:type="dxa" w:w="560"/>
              <w:right w:type="dxa" w:w="380"/>
            </w:tcMar>
            <w:vAlign w:val="top"/>
          </w:tcPr>
          <w:tbl>
            <w:tblPr>
              <w:tblW w:type="dxa" w:w="1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100"/>
            </w:tblGrid>
            <w:tr>
              <w:trPr>
                <w:trHeight w:val="1100" w:hRule="atLeast"/>
              </w:trPr>
              <w:tc>
                <w:tcPr>
                  <w:tcW w:type="dxa" w:w="1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5C"/>
                      <w:sz w:val="39"/>
                      <w:szCs w:val="39"/>
                    </w:rPr>
                    <w:t xml:space="preserve">MS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BE0"/>
                <w:spacing w:val="32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Columbus, OH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(614) 555-0192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sdp-nkmvxlixvvuybbcj">
              <w:r>
                <w:rPr>
                  <w:rFonts w:ascii="Calibri" w:cs="Calibri" w:eastAsia="Calibri" w:hAnsi="Calibri"/>
                  <w:color w:val="EAF0F8"/>
                  <w:sz w:val="18"/>
                  <w:szCs w:val="18"/>
                  <w:u w:val="single"/>
                </w:rPr>
                <w:t xml:space="preserve">maria.santos@email.com</w:t>
              </w:r>
            </w:hyperlink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BE0"/>
                <w:spacing w:val="32"/>
                <w:sz w:val="17"/>
                <w:szCs w:val="17"/>
              </w:rPr>
              <w:t xml:space="preserve">LICENSURE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RN — Ohio Board of Nursing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#RN-448120 · Active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Compact (eNLC) · exp. 2027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BE0"/>
                <w:spacing w:val="32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BLS (AHA) · exp. 2026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ACLS (AHA) · exp. 2026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PCCN — Progressive Care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NIH Stroke Scale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BE0"/>
                <w:spacing w:val="32"/>
                <w:sz w:val="17"/>
                <w:szCs w:val="17"/>
              </w:rPr>
              <w:t xml:space="preserve">CLINICAL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Telemetry &amp; EKG Interpretation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Medication Administration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IV Therapy &amp; Phlebotomy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Wound &amp; Ostomy Care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Patient &amp; Family Education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Cerner &amp; Epic EHR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BBBE0"/>
                <w:spacing w:val="32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t xml:space="preserve">BSN — The Ohio State</w:t>
            </w:r>
            <w:r>
              <w:rPr>
                <w:rFonts w:ascii="Calibri" w:cs="Calibri" w:eastAsia="Calibri" w:hAnsi="Calibri"/>
                <w:color w:val="DCE6F1"/>
                <w:sz w:val="19"/>
                <w:szCs w:val="19"/>
              </w:rPr>
              <w:br/>
              <w:t xml:space="preserve">University · 2016</w:t>
            </w:r>
          </w:p>
        </w:tc>
        <w:tc>
          <w:tcPr>
            <w:tcW w:type="dxa" w:w="8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6263C"/>
                <w:sz w:val="45"/>
                <w:szCs w:val="45"/>
              </w:rPr>
              <w:t xml:space="preserve">Maria Santos, RN, BSN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F6FB0"/>
                <w:spacing w:val="26"/>
                <w:sz w:val="18"/>
                <w:szCs w:val="18"/>
              </w:rPr>
              <w:t xml:space="preserve">MEDICAL-SURGICAL / TELEMETRY NURSE</w:t>
            </w:r>
          </w:p>
          <w:p>
            <w:pPr>
              <w:pBdr>
                <w:bottom w:val="single" w:color="D6E3F0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F6FB0"/>
                <w:spacing w:val="24"/>
                <w:sz w:val="20"/>
                <w:szCs w:val="20"/>
              </w:rPr>
              <w:t xml:space="preserve">PROFESSIONAL SUMMARY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39414C"/>
                <w:sz w:val="20"/>
                <w:szCs w:val="20"/>
              </w:rPr>
              <w:t xml:space="preserve">Compassionate med-surg/telemetry RN with 8 years caring for high-acuity adult patients on a 36-bed cardiac unit. Strong in dysrhythmia monitoring, post-op care, and patient education, with a track record of excellent outcomes and HCAHPS scores.</w:t>
            </w:r>
          </w:p>
          <w:p>
            <w:pPr>
              <w:pBdr>
                <w:bottom w:val="single" w:color="D6E3F0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2F6FB0"/>
                <w:spacing w:val="24"/>
                <w:sz w:val="20"/>
                <w:szCs w:val="20"/>
              </w:rPr>
              <w:t xml:space="preserve">CLINICAL EXPERIENCE</w:t>
            </w:r>
          </w:p>
          <w:tbl>
            <w:tblPr>
              <w:tblW w:type="dxa" w:w="7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63C"/>
                      <w:sz w:val="21"/>
                      <w:szCs w:val="21"/>
                    </w:rPr>
                    <w:t xml:space="preserve">Registered Nurse — Telemetry / Med-Surg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4A1"/>
                      <w:sz w:val="18"/>
                      <w:szCs w:val="18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F6FB0"/>
                <w:sz w:val="19"/>
                <w:szCs w:val="19"/>
              </w:rPr>
              <w:t xml:space="preserve">OhioHealth Riverside Methodist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Provide total care for 5–6 telemetry patients per shift, monitoring cardiac rhythms and post-procedure recovery.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Serve as charge nurse and preceptor; helped reduce unit fall rate 30% through an hourly-rounding initiative.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Coordinate discharges and teaching that lowered 30-day readmissions on the unit.</w:t>
            </w:r>
          </w:p>
          <w:p>
            <w:pPr>
              <w:spacing w:after="110"/>
            </w:pPr>
          </w:p>
          <w:tbl>
            <w:tblPr>
              <w:tblW w:type="dxa" w:w="7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63C"/>
                      <w:sz w:val="21"/>
                      <w:szCs w:val="21"/>
                    </w:rPr>
                    <w:t xml:space="preserve">Registered Nurse — Medical-Surgical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4A1"/>
                      <w:sz w:val="18"/>
                      <w:szCs w:val="18"/>
                    </w:rPr>
                    <w:t xml:space="preserve">2016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F6FB0"/>
                <w:sz w:val="19"/>
                <w:szCs w:val="19"/>
              </w:rPr>
              <w:t xml:space="preserve">Mount Carmel East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Managed care for adult patients with complex medical and post-surgical needs.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Trained on the unit's transition to Epic and supported go-live super-user efforts.</w:t>
            </w:r>
          </w:p>
          <w:p>
            <w:pPr>
              <w:spacing w:after="110"/>
            </w:pPr>
          </w:p>
          <w:tbl>
            <w:tblPr>
              <w:tblW w:type="dxa" w:w="7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00"/>
              <w:gridCol w:w="1900"/>
            </w:tblGrid>
            <w:tr>
              <w:tc>
                <w:tcPr>
                  <w:tcW w:type="dxa" w:w="5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63C"/>
                      <w:sz w:val="21"/>
                      <w:szCs w:val="21"/>
                    </w:rPr>
                    <w:t xml:space="preserve">Nurse Extern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4A1"/>
                      <w:sz w:val="18"/>
                      <w:szCs w:val="18"/>
                    </w:rPr>
                    <w:t xml:space="preserve">Summer 2015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F6FB0"/>
                <w:sz w:val="19"/>
                <w:szCs w:val="19"/>
              </w:rPr>
              <w:t xml:space="preserve">Nationwide Children's Hospital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14C"/>
                <w:sz w:val="19"/>
                <w:szCs w:val="19"/>
              </w:rPr>
              <w:t xml:space="preserve">Completed a competitive summer externship shadowing and assisting RNs in acute care.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sdp-nkmvxlixvvuybbcj" Type="http://schemas.openxmlformats.org/officeDocument/2006/relationships/hyperlink" Target="mailto:maria.sant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2026-06-16T23:06:28.022Z</dcterms:created>
  <dcterms:modified xsi:type="dcterms:W3CDTF">2026-06-16T23:06:28.022Z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