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1D1B1D"/>
          <w:sz w:val="51"/>
          <w:szCs w:val="51"/>
        </w:rPr>
        <w:t xml:space="preserve">Daniel Okonkwo, MSN, RN, CCRN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A8434F"/>
          <w:spacing w:val="48"/>
          <w:sz w:val="18"/>
          <w:szCs w:val="18"/>
        </w:rPr>
        <w:t xml:space="preserve">CRITICAL CARE REGISTERED NURSE · ICU</w:t>
      </w:r>
    </w:p>
    <w:p>
      <w:pPr>
        <w:pBdr>
          <w:bottom w:val="single" w:color="D8B4BA" w:sz="12" w:space="8"/>
        </w:pBdr>
        <w:spacing w:after="20"/>
        <w:jc w:val="center"/>
      </w:pPr>
      <w:r>
        <w:rPr>
          <w:rFonts w:ascii="Calibri" w:cs="Calibri" w:eastAsia="Calibri" w:hAnsi="Calibri"/>
          <w:color w:val="5E585B"/>
          <w:sz w:val="18"/>
          <w:szCs w:val="18"/>
        </w:rPr>
        <w:t xml:space="preserve">Seattle, WA · (206) 555-0166 · </w:t>
      </w:r>
      <w:hyperlink w:history="1" r:id="rIdotc-wnxn6cuyyvouu9pdr">
        <w:r>
          <w:rPr>
            <w:rFonts w:ascii="Calibri" w:cs="Calibri" w:eastAsia="Calibri" w:hAnsi="Calibri"/>
            <w:color w:val="7A1F2B"/>
            <w:sz w:val="18"/>
            <w:szCs w:val="18"/>
            <w:u w:val="single"/>
          </w:rPr>
          <w:t xml:space="preserve">daniel.okonkwo@email.com</w:t>
        </w:r>
      </w:hyperlink>
    </w:p>
    <w:p>
      <w:pPr>
        <w:spacing w:after="160" w:before="160"/>
        <w:jc w:val="center"/>
      </w:pPr>
      <w:r>
        <w:rPr>
          <w:rFonts w:ascii="Calibri" w:cs="Calibri" w:eastAsia="Calibri" w:hAnsi="Calibri"/>
          <w:color w:val="3C373A"/>
          <w:sz w:val="20"/>
          <w:szCs w:val="20"/>
        </w:rPr>
        <w:t xml:space="preserve">Critical care RN with 11 years at the bedside in surgical and medical ICUs. CCRN-certified and rapid-response trained — expert in hemodynamic monitoring, ventilator management, and titrating vasoactive drips for the most fragile patients, while leading and mentoring nursing teams.</w:t>
      </w: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353"/>
        <w:gridCol w:w="150"/>
        <w:gridCol w:w="3353"/>
        <w:gridCol w:w="150"/>
        <w:gridCol w:w="3353"/>
      </w:tblGrid>
      <w:tr>
        <w:tc>
          <w:tcPr>
            <w:tcW w:type="dxa" w:w="33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EE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2B"/>
                <w:sz w:val="23"/>
                <w:szCs w:val="23"/>
              </w:rPr>
              <w:t xml:space="preserve">RN · Active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7C80"/>
                <w:spacing w:val="10"/>
                <w:sz w:val="13"/>
                <w:szCs w:val="13"/>
              </w:rPr>
              <w:t xml:space="preserve">WA #RN-61190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EE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2B"/>
                <w:sz w:val="23"/>
                <w:szCs w:val="23"/>
              </w:rPr>
              <w:t xml:space="preserve">CCRN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7C80"/>
                <w:spacing w:val="10"/>
                <w:sz w:val="13"/>
                <w:szCs w:val="13"/>
              </w:rPr>
              <w:t xml:space="preserve">AACN · CURRENT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EE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2B"/>
                <w:sz w:val="23"/>
                <w:szCs w:val="23"/>
              </w:rPr>
              <w:t xml:space="preserve">BLS · ACLS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7C80"/>
                <w:spacing w:val="10"/>
                <w:sz w:val="13"/>
                <w:szCs w:val="13"/>
              </w:rPr>
              <w:t xml:space="preserve">AHA · EXP. 2026</w:t>
            </w:r>
          </w:p>
        </w:tc>
      </w:tr>
    </w:tbl>
    <w:p>
      <w:pPr>
        <w:pBdr>
          <w:bottom w:val="single" w:color="ECD5D9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7A1F2B"/>
          <w:spacing w:val="24"/>
          <w:sz w:val="19"/>
          <w:szCs w:val="19"/>
        </w:rPr>
        <w:t xml:space="preserve">CLINICAL EXPERIENCE</w:t>
      </w: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60"/>
        <w:gridCol w:w="1900"/>
      </w:tblGrid>
      <w:tr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D1F"/>
                <w:sz w:val="21"/>
                <w:szCs w:val="21"/>
              </w:rPr>
              <w:t xml:space="preserve">Senior ICU Nurse / Rapid Response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8D90"/>
                <w:sz w:val="18"/>
                <w:szCs w:val="18"/>
              </w:rPr>
              <w:t xml:space="preserve">2018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/>
          <w:iCs/>
          <w:color w:val="A8434F"/>
          <w:sz w:val="19"/>
          <w:szCs w:val="19"/>
        </w:rPr>
        <w:t xml:space="preserve">Harborview Medical Center (Level I Trauma, Surgical ICU)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3A"/>
          <w:sz w:val="19"/>
          <w:szCs w:val="19"/>
        </w:rPr>
        <w:t xml:space="preserve">Manage 1–2 critically ill patients on ventilators, CRRT, and multiple vasoactive drips with continuous hemodynamic monitoring.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3A"/>
          <w:sz w:val="19"/>
          <w:szCs w:val="19"/>
        </w:rPr>
        <w:t xml:space="preserve">Respond to codes and rapid-response calls hospital-wide; serve as charge nurse and unit preceptor.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3A"/>
          <w:sz w:val="19"/>
          <w:szCs w:val="19"/>
        </w:rPr>
        <w:t xml:space="preserve">Champion an ABCDEF bundle that helped reduce ICU delirium and ventilator days.</w:t>
      </w:r>
    </w:p>
    <w:p>
      <w:pPr>
        <w:spacing w:after="110"/>
      </w:pP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60"/>
        <w:gridCol w:w="1900"/>
      </w:tblGrid>
      <w:tr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D1F"/>
                <w:sz w:val="21"/>
                <w:szCs w:val="21"/>
              </w:rPr>
              <w:t xml:space="preserve">ICU Registered Nurse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8D90"/>
                <w:sz w:val="18"/>
                <w:szCs w:val="18"/>
              </w:rPr>
              <w:t xml:space="preserve">2013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/>
          <w:iCs/>
          <w:color w:val="A8434F"/>
          <w:sz w:val="19"/>
          <w:szCs w:val="19"/>
        </w:rPr>
        <w:t xml:space="preserve">Swedish Medical Center (Medical ICU)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3A"/>
          <w:sz w:val="19"/>
          <w:szCs w:val="19"/>
        </w:rPr>
        <w:t xml:space="preserve">Provided complex care for septic, post-surgical, and respiratory-failure patients.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3A"/>
          <w:sz w:val="19"/>
          <w:szCs w:val="19"/>
        </w:rPr>
        <w:t xml:space="preserve">Earned CCRN certification and joined the unit's shared-governance council.</w:t>
      </w:r>
    </w:p>
    <w:p>
      <w:pPr>
        <w:spacing w:after="110"/>
      </w:pP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60"/>
        <w:gridCol w:w="1900"/>
      </w:tblGrid>
      <w:tr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D1F"/>
                <w:sz w:val="21"/>
                <w:szCs w:val="21"/>
              </w:rPr>
              <w:t xml:space="preserve">Staff Nurse — Progressive Care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8D90"/>
                <w:sz w:val="18"/>
                <w:szCs w:val="18"/>
              </w:rPr>
              <w:t xml:space="preserve">2012 – 2013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/>
          <w:iCs/>
          <w:color w:val="A8434F"/>
          <w:sz w:val="19"/>
          <w:szCs w:val="19"/>
        </w:rPr>
        <w:t xml:space="preserve">Virginia Mason Medical Center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3A"/>
          <w:sz w:val="19"/>
          <w:szCs w:val="19"/>
        </w:rPr>
        <w:t xml:space="preserve">Built a foundation in telemetry and step-down care for transitioning ICU patients.</w:t>
      </w:r>
    </w:p>
    <w:p>
      <w:pPr>
        <w:spacing w:after="80"/>
      </w:pP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80"/>
        <w:gridCol w:w="5180"/>
      </w:tblGrid>
      <w:tr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CD5D9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1F2B"/>
                <w:spacing w:val="20"/>
                <w:sz w:val="18"/>
                <w:szCs w:val="18"/>
              </w:rPr>
              <w:t xml:space="preserve">CLINICAL EXPERTISE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t xml:space="preserve">Hemodynamic Monitoring · Ventilator &amp;</w:t>
            </w: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br/>
              <w:t xml:space="preserve">Airway Management · CRRT · Vasoactive</w:t>
            </w: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br/>
              <w:t xml:space="preserve">Drip Titration · Code/Rapid Response · Epic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CD5D9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1F2B"/>
                <w:spacing w:val="20"/>
                <w:sz w:val="18"/>
                <w:szCs w:val="18"/>
              </w:rPr>
              <w:t xml:space="preserve">LICENSURE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t xml:space="preserve">RN — WA Board of Nursing #RN-61190 (Active)</w:t>
            </w: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br/>
              <w:t xml:space="preserve">CCRN (AACN) · BLS · ACLS · NIHSS</w:t>
            </w: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br/>
              <w:t xml:space="preserve">MSN — University of Washington · 2019</w:t>
            </w:r>
            <w:r>
              <w:rPr>
                <w:rFonts w:ascii="Calibri" w:cs="Calibri" w:eastAsia="Calibri" w:hAnsi="Calibri"/>
                <w:color w:val="3C373A"/>
                <w:sz w:val="19"/>
                <w:szCs w:val="19"/>
              </w:rPr>
              <w:br/>
              <w:t xml:space="preserve">BSN — Seattle University · 2012</w:t>
            </w:r>
          </w:p>
        </w:tc>
      </w:tr>
    </w:tbl>
    <w:sectPr>
      <w:pgSz w:w="12240" w:h="15840" w:orient="portrait"/>
      <w:pgMar w:top="820" w:right="940" w:bottom="720" w:left="9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7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tc-wnxn6cuyyvouu9pdr" Type="http://schemas.openxmlformats.org/officeDocument/2006/relationships/hyperlink" Target="mailto:daniel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2026-06-16T23:06:28.030Z</dcterms:created>
  <dcterms:modified xsi:type="dcterms:W3CDTF">2026-06-16T23:06:28.030Z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