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pacing w:val="34"/>
                <w:sz w:val="19"/>
                <w:szCs w:val="19"/>
              </w:rPr>
              <w:t xml:space="preserve">Practice 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61821"/>
                <w:sz w:val="60"/>
                <w:szCs w:val="60"/>
              </w:rPr>
              <w:t xml:space="preserve">Monica Patel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Denver, CO 80203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(303)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ddexp_9to6lj42a1aqxe">
              <w:r>
                <w:rPr>
                  <w:rFonts w:ascii="Calibri" w:cs="Calibri" w:eastAsia="Calibri" w:hAnsi="Calibri"/>
                  <w:color w:val="2F4A6B"/>
                  <w:sz w:val="17"/>
                  <w:szCs w:val="17"/>
                </w:rPr>
                <w:t xml:space="preserve">monica.patel@email.com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in/monicapatel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PROVIDERS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22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STAFF MANAGED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+15%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COLLECTIONS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11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Healthcare practice office manager who runs the business side of medicine so clinicians can focus on patients. 11 years managing front- and back-office operations — scheduling, billing, credentialing, and compliance — across multi-provider practices. I keep collections healthy, the schedule full, and the practice survey-ready.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Practice /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Front Range Family Medicine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a 22-person staff across front desk, MAs, and billing for a 5-provider practice.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Lifted collections 15% by tightening claims, eligibility checks, and AR follow-up.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Own HIPAA/OSHA compliance, credentialing, and payer enrollment; keep the practice audit-ready.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Dental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2015 – 2019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Cherry Creek Dental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Ran scheduling, insurance, and treatment-plan financing in Dentrix.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Hired and trained front-office staff; reduced no-shows with a recall system.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Front Office Lead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2013 – 2015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Concentra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Supervised front-desk staff and managed patient flow at an occupational-health clinic.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PRACTICE 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Medical Billing · AR &amp; Collections · Credentialing · Scheduling · Payroll · HIPAA / OSHA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LEADERSHIP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Staff Hiring &amp; Training · Patient Experience · Vendor Relations · Compliance Audits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Epic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Dentrix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Kareo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QuickBooks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17"/>
                      <w:szCs w:val="17"/>
                    </w:rPr>
                    <w:t xml:space="preserve">B.A., Healthcare Administration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University of Denver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CMOM (Certified Medical Office Mgr.)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ddexp_9to6lj42a1aqxe" Type="http://schemas.openxmlformats.org/officeDocument/2006/relationships/hyperlink" Target="mailto:monic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2026-06-20T16:52:02.482Z</dcterms:created>
  <dcterms:modified xsi:type="dcterms:W3CDTF">2026-06-20T16:52:02.482Z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