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20"/>
        <w:gridCol w:w="4200"/>
      </w:tblGrid>
      <w:tr>
        <w:tc>
          <w:tcPr>
            <w:tcW w:type="dxa" w:w="6520"/>
            <w:tcBorders>
              <w:top w:val="none"/>
              <w:left w:val="none"/>
              <w:bottom w:val="single" w:color="13201D" w:sz="16"/>
              <w:right w:val="none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D6B63"/>
                <w:spacing w:val="34"/>
                <w:sz w:val="19"/>
                <w:szCs w:val="19"/>
              </w:rPr>
              <w:t xml:space="preserve">Practice Office Manager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3201D"/>
                <w:sz w:val="60"/>
                <w:szCs w:val="60"/>
              </w:rPr>
              <w:t xml:space="preserve">Monica Patel</w:t>
            </w:r>
          </w:p>
        </w:tc>
        <w:tc>
          <w:tcPr>
            <w:tcW w:type="dxa" w:w="4200"/>
            <w:tcBorders>
              <w:top w:val="none"/>
              <w:left w:val="none"/>
              <w:bottom w:val="single" w:color="13201D" w:sz="16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spacing w:line="300" w:lineRule="atLeast"/>
              <w:jc w:val="right"/>
            </w:pP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t xml:space="preserve">Denver, CO 80203</w:t>
            </w: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(303)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jt5xolb6b1d4jbi38zqks">
              <w:r>
                <w:rPr>
                  <w:rFonts w:ascii="Calibri" w:cs="Calibri" w:eastAsia="Calibri" w:hAnsi="Calibri"/>
                  <w:color w:val="1D6B63"/>
                  <w:sz w:val="17"/>
                  <w:szCs w:val="17"/>
                </w:rPr>
                <w:t xml:space="preserve">monica.patel@email.com</w:t>
              </w:r>
            </w:hyperlink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in/monicapatel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30"/>
                <w:szCs w:val="30"/>
              </w:rPr>
              <w:t xml:space="preserve">5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PROVIDERS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30"/>
                <w:szCs w:val="30"/>
              </w:rPr>
              <w:t xml:space="preserve">22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STAFF MANAGED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30"/>
                <w:szCs w:val="30"/>
              </w:rPr>
              <w:t xml:space="preserve">+15%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COLLECTIONS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30"/>
                <w:szCs w:val="30"/>
              </w:rPr>
              <w:t xml:space="preserve">11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EXPERIENCE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A9C2A6"/>
                <w:sz w:val="36"/>
                <w:szCs w:val="36"/>
              </w:rPr>
              <w:t xml:space="preserve">01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D6B63"/>
                <w:spacing w:val="18"/>
                <w:sz w:val="14"/>
                <w:szCs w:val="14"/>
              </w:rPr>
              <w:t xml:space="preserve">PROFILE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373A42"/>
                <w:sz w:val="20"/>
                <w:szCs w:val="20"/>
              </w:rPr>
              <w:t xml:space="preserve">Healthcare practice office manager who runs the business side of medicine so clinicians can focus on patients. 11 years managing front- and back-office operations — scheduling, billing, credentialing, and compliance — across multi-provider practices. I keep collections healthy, the schedule full, and the practice survey-ready.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A9C2A6"/>
                <w:sz w:val="36"/>
                <w:szCs w:val="36"/>
              </w:rPr>
              <w:t xml:space="preserve">02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D6B63"/>
                <w:spacing w:val="18"/>
                <w:sz w:val="14"/>
                <w:szCs w:val="14"/>
              </w:rPr>
              <w:t xml:space="preserve">EXPERIENCE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3201D"/>
                      <w:sz w:val="20"/>
                      <w:szCs w:val="20"/>
                    </w:rPr>
                    <w:t xml:space="preserve">Practice / Office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17"/>
                <w:szCs w:val="17"/>
              </w:rPr>
              <w:t xml:space="preserve">Front Range Family Medicine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Manage a 22-person staff across front desk, MAs, and billing for a 5-provider practice.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Lifted collections 15% by tightening claims, eligibility checks, and AR follow-up.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Own HIPAA/OSHA compliance, credentialing, and payer enrollment; keep the practice audit-ready.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3201D"/>
                      <w:sz w:val="20"/>
                      <w:szCs w:val="20"/>
                    </w:rPr>
                    <w:t xml:space="preserve">Dental Office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2015 – 2019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17"/>
                <w:szCs w:val="17"/>
              </w:rPr>
              <w:t xml:space="preserve">Cherry Creek Dental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Ran scheduling, insurance, and treatment-plan financing in Dentrix.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Hired and trained front-office staff; reduced no-shows with a recall system.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3201D"/>
                      <w:sz w:val="20"/>
                      <w:szCs w:val="20"/>
                    </w:rPr>
                    <w:t xml:space="preserve">Front Office Lead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2013 – 2015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17"/>
                <w:szCs w:val="17"/>
              </w:rPr>
              <w:t xml:space="preserve">Concentra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Supervised front-desk staff and managed patient flow at an occupational-health clinic.</w:t>
            </w:r>
          </w:p>
          <w:p>
            <w:pPr>
              <w:spacing w:after="0"/>
            </w:pP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A9C2A6"/>
                <w:sz w:val="36"/>
                <w:szCs w:val="36"/>
              </w:rPr>
              <w:t xml:space="preserve">03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D6B63"/>
                <w:spacing w:val="18"/>
                <w:sz w:val="14"/>
                <w:szCs w:val="14"/>
              </w:rPr>
              <w:t xml:space="preserve">CAPABILITIES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90"/>
              <w:gridCol w:w="300"/>
              <w:gridCol w:w="4090"/>
            </w:tblGrid>
            <w:tr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PRACTICE OPERATIONS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Medical Billing · AR &amp; Collections · Credentialing · Scheduling · Payroll · HIPAA / OSHA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LEADERSHIP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Staff Hiring &amp; Training · Patient Experience · Vendor Relations · Compliance Audits</w:t>
                  </w:r>
                </w:p>
              </w:tc>
            </w:tr>
          </w:tbl>
          <w:p/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none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A9C2A6"/>
                <w:sz w:val="36"/>
                <w:szCs w:val="36"/>
              </w:rPr>
              <w:t xml:space="preserve">04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D6B63"/>
                <w:spacing w:val="18"/>
                <w:sz w:val="14"/>
                <w:szCs w:val="14"/>
              </w:rPr>
              <w:t xml:space="preserve">SYSTEMS &amp; EDUCATION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none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80"/>
              <w:gridCol w:w="300"/>
              <w:gridCol w:w="3600"/>
            </w:tblGrid>
            <w:tr>
              <w:tc>
                <w:tcPr>
                  <w:tcW w:type="dxa" w:w="458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SOFTWARE</w:t>
                  </w:r>
                </w:p>
                <w:p>
                  <w:pPr>
                    <w:spacing w:line="340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5A52"/>
                      <w:sz w:val="16"/>
                      <w:szCs w:val="16"/>
                      <w:shd w:fill="EAF4F1" w:color="auto" w:val="clear"/>
                    </w:rPr>
                    <w:t xml:space="preserve"> Epic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55A52"/>
                      <w:sz w:val="16"/>
                      <w:szCs w:val="16"/>
                      <w:shd w:fill="EAF4F1" w:color="auto" w:val="clear"/>
                    </w:rPr>
                    <w:t xml:space="preserve"> Dentrix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55A52"/>
                      <w:sz w:val="16"/>
                      <w:szCs w:val="16"/>
                      <w:shd w:fill="EAF4F1" w:color="auto" w:val="clear"/>
                    </w:rPr>
                    <w:t xml:space="preserve"> Kareo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55A52"/>
                      <w:sz w:val="16"/>
                      <w:szCs w:val="16"/>
                      <w:shd w:fill="EAF4F1" w:color="auto" w:val="clear"/>
                    </w:rPr>
                    <w:t xml:space="preserve"> QuickBooks 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6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3201D"/>
                      <w:sz w:val="17"/>
                      <w:szCs w:val="17"/>
                    </w:rPr>
                    <w:t xml:space="preserve">B.A., Healthcare Administration</w:t>
                  </w:r>
                </w:p>
                <w:p>
                  <w:r>
                    <w:rPr>
                      <w:rFonts w:ascii="Georgia" w:cs="Georgia" w:eastAsia="Georgia" w:hAnsi="Georgia"/>
                      <w:color w:val="7A7E87"/>
                      <w:sz w:val="17"/>
                      <w:szCs w:val="17"/>
                    </w:rPr>
                    <w:t xml:space="preserve">University of Denver</w:t>
                  </w:r>
                </w:p>
                <w:p>
                  <w:pPr>
                    <w:spacing w:before="50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CMOM (Certified Medical Office Mgr.)</w:t>
                  </w:r>
                </w:p>
              </w:tc>
            </w:tr>
          </w:tbl>
          <w:p/>
        </w:tc>
      </w:tr>
    </w:tbl>
    <w:sectPr>
      <w:pgSz w:w="12240" w:h="15840" w:orient="portrait"/>
      <w:pgMar w:top="720" w:right="760" w:bottom="60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4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t5xolb6b1d4jbi38zqks" Type="http://schemas.openxmlformats.org/officeDocument/2006/relationships/hyperlink" Target="mailto:monica.pate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2026-06-20T16:52:02.477Z</dcterms:created>
  <dcterms:modified xsi:type="dcterms:W3CDTF">2026-06-20T16:52:02.477Z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