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F161C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pacing w:val="34"/>
                <w:sz w:val="19"/>
                <w:szCs w:val="19"/>
              </w:rPr>
              <w:t xml:space="preserve">Office &amp; HR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F161C"/>
                <w:sz w:val="60"/>
                <w:szCs w:val="60"/>
              </w:rPr>
              <w:t xml:space="preserve">Trevor Adams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F161C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yrvs6ucejo_8uk9ke3z1">
              <w:r>
                <w:rPr>
                  <w:rFonts w:ascii="Calibri" w:cs="Calibri" w:eastAsia="Calibri" w:hAnsi="Calibri"/>
                  <w:color w:val="8A3A44"/>
                  <w:sz w:val="17"/>
                  <w:szCs w:val="17"/>
                </w:rPr>
                <w:t xml:space="preserve">trevor.adams@email.com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in/trevoradams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60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HEADCOUNT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120+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HIRES ONBOARDED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−25%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TURNOVER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30"/>
                <w:szCs w:val="30"/>
              </w:rPr>
              <w:t xml:space="preserve">9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Office manager who doubles as the people-operations backbone of a growing company. 9 years blending office administration with HR — onboarding, payroll, benefits, and culture — for teams up to 60. I make new hires feel welcome, keep the office humming, and handle the paperwork no one else wants to.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20"/>
                      <w:szCs w:val="20"/>
                    </w:rPr>
                    <w:t xml:space="preserve">Office &amp; HR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17"/>
                <w:szCs w:val="17"/>
              </w:rPr>
              <w:t xml:space="preserve">Bigcommerce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Run office operations and people-ops for 60 employees — facilities, supplies, and culture events.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Onboarded 120+ hires; built a structured first-week program that cut early turnover 25%.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Administer payroll, benefits enrollment, and PTO in BambooHR; first point of contact for HR questions.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20"/>
                      <w:szCs w:val="20"/>
                    </w:rPr>
                    <w:t xml:space="preserve">Office Manager / HR Coordinator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2017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17"/>
                <w:szCs w:val="17"/>
              </w:rPr>
              <w:t xml:space="preserve">RetailMeNot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Coordinated recruiting logistics, new-hire setup, and benefits administration.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Managed vendor relationships and a $400K office budget.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2015 – 2017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8A3A44"/>
                <w:sz w:val="17"/>
                <w:szCs w:val="17"/>
              </w:rPr>
              <w:t xml:space="preserve">Whole Foods Market HQ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HR and office operations with scheduling, records, and event planning.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PEOPLE 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Onboarding · Payroll · Benefits Admin · HRIS · PTO Tracking · Employee Relations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OFFICE MANAGEMENT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Facilities · Vendor Management · Budgeting · Event Planning · Scheduling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D8B9A0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3A44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BambooHR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Gusto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ADP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A323B"/>
                      <w:sz w:val="16"/>
                      <w:szCs w:val="16"/>
                      <w:shd w:fill="F6ECEE" w:color="auto" w:val="clear"/>
                    </w:rPr>
                    <w:t xml:space="preserve"> MS Office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161C"/>
                      <w:sz w:val="17"/>
                      <w:szCs w:val="17"/>
                    </w:rPr>
                    <w:t xml:space="preserve">B.A., Business / Management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Texas State University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SHRM-CP (in progress)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yrvs6ucejo_8uk9ke3z1" Type="http://schemas.openxmlformats.org/officeDocument/2006/relationships/hyperlink" Target="mailto:trevor.ad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2026-06-20T16:52:02.491Z</dcterms:created>
  <dcterms:modified xsi:type="dcterms:W3CDTF">2026-06-20T16:52:02.491Z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