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80"/>
        <w:gridCol w:w="4320"/>
      </w:tblGrid>
      <w:t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5172A"/>
                <w:sz w:val="57"/>
                <w:szCs w:val="57"/>
              </w:rPr>
              <w:t xml:space="preserve">Hannah Levin</w:t>
            </w:r>
          </w:p>
          <w:p>
            <w:r>
              <w:rPr>
                <w:rFonts w:ascii="Consolas" w:cs="Consolas" w:eastAsia="Consolas" w:hAnsi="Consolas"/>
                <w:b/>
                <w:bCs/>
                <w:color w:val="2563C4"/>
                <w:spacing w:val="14"/>
                <w:sz w:val="17"/>
                <w:szCs w:val="17"/>
              </w:rPr>
              <w:t xml:space="preserve">BUSINESS OPERATIONS MANAGER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6E84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6B6E84"/>
                <w:sz w:val="17"/>
                <w:szCs w:val="17"/>
              </w:rPr>
              <w:br/>
              <w:t xml:space="preserve">(415)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ttvsfvkdtwa3egl4bgkii">
              <w:r>
                <w:rPr>
                  <w:rFonts w:ascii="Calibri" w:cs="Calibri" w:eastAsia="Calibri" w:hAnsi="Calibri"/>
                  <w:color w:val="2563C4"/>
                  <w:sz w:val="17"/>
                  <w:szCs w:val="17"/>
                  <w:u w:val="single"/>
                </w:rPr>
                <w:t xml:space="preserve">hannah.levin@email.com</w:t>
              </w:r>
            </w:hyperlink>
            <w:r>
              <w:rPr>
                <w:rFonts w:ascii="Calibri" w:cs="Calibri" w:eastAsia="Calibri" w:hAnsi="Calibri"/>
                <w:color w:val="6B6E84"/>
                <w:sz w:val="17"/>
                <w:szCs w:val="17"/>
              </w:rPr>
              <w:br/>
              <w:t xml:space="preserve">in/hannahlevin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93C50"/>
          <w:sz w:val="20"/>
          <w:szCs w:val="20"/>
        </w:rPr>
        <w:t xml:space="preserve">Business operations manager who builds the systems that let a company scale. Eight years in tech BizOps — running cross-functional programs, standing up tooling, and turning manual chaos into measured, repeatable process. I find the bottleneck, design the workflow, and make the org faster without adding headcount.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95"/>
        <w:gridCol w:w="140"/>
        <w:gridCol w:w="2595"/>
        <w:gridCol w:w="140"/>
        <w:gridCol w:w="2595"/>
        <w:gridCol w:w="140"/>
        <w:gridCol w:w="2595"/>
      </w:tblGrid>
      <w:tr>
        <w:tc>
          <w:tcPr>
            <w:tcW w:type="dxa" w:w="2595"/>
            <w:tcBorders>
              <w:top w:val="single" w:color="D8E2F6" w:sz="4"/>
              <w:left w:val="single" w:color="D8E2F6" w:sz="4"/>
              <w:bottom w:val="single" w:color="D8E2F6" w:sz="4"/>
              <w:right w:val="single" w:color="D8E2F6" w:sz="4"/>
            </w:tcBorders>
            <w:shd w:fill="EEF3FC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2563C4"/>
                <w:sz w:val="33"/>
                <w:szCs w:val="33"/>
              </w:rPr>
              <w:t xml:space="preserve">−38%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198"/>
                <w:spacing w:val="3"/>
                <w:sz w:val="12"/>
                <w:szCs w:val="12"/>
              </w:rPr>
              <w:t xml:space="preserve">CYCLE TIME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D8E2F6" w:sz="4"/>
              <w:left w:val="single" w:color="D8E2F6" w:sz="4"/>
              <w:bottom w:val="single" w:color="D8E2F6" w:sz="4"/>
              <w:right w:val="single" w:color="D8E2F6" w:sz="4"/>
            </w:tcBorders>
            <w:shd w:fill="EEF3FC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2563C4"/>
                <w:sz w:val="33"/>
                <w:szCs w:val="33"/>
              </w:rPr>
              <w:t xml:space="preserve">3→11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198"/>
                <w:spacing w:val="3"/>
                <w:sz w:val="12"/>
                <w:szCs w:val="12"/>
              </w:rPr>
              <w:t xml:space="preserve">TEAMS SCALED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D8E2F6" w:sz="4"/>
              <w:left w:val="single" w:color="D8E2F6" w:sz="4"/>
              <w:bottom w:val="single" w:color="D8E2F6" w:sz="4"/>
              <w:right w:val="single" w:color="D8E2F6" w:sz="4"/>
            </w:tcBorders>
            <w:shd w:fill="EEF3FC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2563C4"/>
                <w:sz w:val="33"/>
                <w:szCs w:val="33"/>
              </w:rPr>
              <w:t xml:space="preserve">$2.3M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198"/>
                <w:spacing w:val="3"/>
                <w:sz w:val="12"/>
                <w:szCs w:val="12"/>
              </w:rPr>
              <w:t xml:space="preserve">COST AVOIDED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95"/>
            <w:tcBorders>
              <w:top w:val="single" w:color="D8E2F6" w:sz="4"/>
              <w:left w:val="single" w:color="D8E2F6" w:sz="4"/>
              <w:bottom w:val="single" w:color="D8E2F6" w:sz="4"/>
              <w:right w:val="single" w:color="D8E2F6" w:sz="4"/>
            </w:tcBorders>
            <w:shd w:fill="EEF3FC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2563C4"/>
                <w:sz w:val="33"/>
                <w:szCs w:val="33"/>
              </w:rPr>
              <w:t xml:space="preserve">25+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198"/>
                <w:spacing w:val="3"/>
                <w:sz w:val="12"/>
                <w:szCs w:val="12"/>
              </w:rPr>
              <w:t xml:space="preserve">WORKFLOWS BUILT</w:t>
            </w:r>
          </w:p>
        </w:tc>
      </w:tr>
    </w:tbl>
    <w:p>
      <w:pPr>
        <w:spacing w:after="130" w:before="260"/>
      </w:pPr>
      <w:r>
        <w:rPr>
          <w:rFonts w:ascii="Consolas" w:cs="Consolas" w:eastAsia="Consolas" w:hAnsi="Consolas"/>
          <w:b/>
          <w:bCs/>
          <w:color w:val="2563C4"/>
          <w:spacing w:val="20"/>
          <w:sz w:val="17"/>
          <w:szCs w:val="17"/>
        </w:rPr>
        <w:t xml:space="preserve">EXPERIENCE</w:t>
      </w: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00"/>
        <w:gridCol w:w="1700"/>
      </w:tblGrid>
      <w:tr>
        <w:tc>
          <w:tcPr>
            <w:tcW w:type="dxa" w:w="9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172A"/>
                <w:sz w:val="20"/>
                <w:szCs w:val="20"/>
              </w:rPr>
              <w:t xml:space="preserve">Business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598AC"/>
                <w:sz w:val="16"/>
                <w:szCs w:val="16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563C4"/>
          <w:sz w:val="18"/>
          <w:szCs w:val="18"/>
        </w:rPr>
        <w:t xml:space="preserve">Stripe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3C50"/>
          <w:sz w:val="19"/>
          <w:szCs w:val="19"/>
        </w:rPr>
        <w:t xml:space="preserve">Lead cross-functional ops for a 400-person org — planning, tooling, and process across GTM and product.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3C50"/>
          <w:sz w:val="19"/>
          <w:szCs w:val="19"/>
        </w:rPr>
        <w:t xml:space="preserve">Cut a core operational cycle time 38% by redesigning the workflow and automating handoffs.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3C50"/>
          <w:sz w:val="19"/>
          <w:szCs w:val="19"/>
        </w:rPr>
        <w:t xml:space="preserve">Built the OKR and reporting cadence now used company-wide; scaled it from 3 to 11 teams.</w:t>
      </w:r>
    </w:p>
    <w:p>
      <w:pPr>
        <w:spacing w:after="11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00"/>
        <w:gridCol w:w="1700"/>
      </w:tblGrid>
      <w:tr>
        <w:tc>
          <w:tcPr>
            <w:tcW w:type="dxa" w:w="9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172A"/>
                <w:sz w:val="20"/>
                <w:szCs w:val="20"/>
              </w:rPr>
              <w:t xml:space="preserve">Operations Program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598AC"/>
                <w:sz w:val="16"/>
                <w:szCs w:val="16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563C4"/>
          <w:sz w:val="18"/>
          <w:szCs w:val="18"/>
        </w:rPr>
        <w:t xml:space="preserve">Square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3C50"/>
          <w:sz w:val="19"/>
          <w:szCs w:val="19"/>
        </w:rPr>
        <w:t xml:space="preserve">Ran operational programs across support and risk, building the tooling to track and scale them.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3C50"/>
          <w:sz w:val="19"/>
          <w:szCs w:val="19"/>
        </w:rPr>
        <w:t xml:space="preserve">Automated manual reporting, saving the team 20+ hours a week.</w:t>
      </w:r>
    </w:p>
    <w:p>
      <w:pPr>
        <w:spacing w:after="110"/>
      </w:pPr>
    </w:p>
    <w:tbl>
      <w:tblPr>
        <w:tblW w:type="dxa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00"/>
        <w:gridCol w:w="1700"/>
      </w:tblGrid>
      <w:tr>
        <w:tc>
          <w:tcPr>
            <w:tcW w:type="dxa" w:w="9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172A"/>
                <w:sz w:val="20"/>
                <w:szCs w:val="20"/>
              </w:rPr>
              <w:t xml:space="preserve">Operations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598AC"/>
                <w:sz w:val="16"/>
                <w:szCs w:val="16"/>
              </w:rPr>
              <w:t xml:space="preserve">2016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563C4"/>
          <w:sz w:val="18"/>
          <w:szCs w:val="18"/>
        </w:rPr>
        <w:t xml:space="preserve">Deloitte Consulting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3C50"/>
          <w:sz w:val="19"/>
          <w:szCs w:val="19"/>
        </w:rPr>
        <w:t xml:space="preserve">Advised clients on operating-model design and process improvement.</w:t>
      </w:r>
    </w:p>
    <w:p>
      <w:pPr>
        <w:spacing w:after="60"/>
      </w:pPr>
    </w:p>
    <w:tbl>
      <w:tblPr>
        <w:tblW w:type="dxa" w:w="10800"/>
        <w:tblBorders>
          <w:top w:val="single" w:color="E7E6F2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80"/>
        <w:gridCol w:w="4320"/>
      </w:tblGrid>
      <w:t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single" w:color="E7E6F2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2563C4"/>
                <w:spacing w:val="12"/>
                <w:sz w:val="15"/>
                <w:szCs w:val="15"/>
              </w:rPr>
              <w:t xml:space="preserve">TOOLING &amp; SKILLS</w:t>
            </w:r>
          </w:p>
          <w:p>
            <w:pPr>
              <w:spacing w:after="90" w:line="300" w:lineRule="atLeast"/>
            </w:pPr>
            <w:r>
              <w:rPr>
                <w:rFonts w:ascii="Calibri" w:cs="Calibri" w:eastAsia="Calibri" w:hAnsi="Calibri"/>
                <w:color w:val="1E4FA0"/>
                <w:sz w:val="16"/>
                <w:szCs w:val="16"/>
                <w:shd w:fill="EEF3FC" w:color="auto" w:val="clear"/>
              </w:rPr>
              <w:t xml:space="preserve"> Asana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1E4FA0"/>
                <w:sz w:val="16"/>
                <w:szCs w:val="16"/>
                <w:shd w:fill="EEF3FC" w:color="auto" w:val="clear"/>
              </w:rPr>
              <w:t xml:space="preserve"> Looker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1E4FA0"/>
                <w:sz w:val="16"/>
                <w:szCs w:val="16"/>
                <w:shd w:fill="EEF3FC" w:color="auto" w:val="clear"/>
              </w:rPr>
              <w:t xml:space="preserve"> SQL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1E4FA0"/>
                <w:sz w:val="16"/>
                <w:szCs w:val="16"/>
                <w:shd w:fill="EEF3FC" w:color="auto" w:val="clear"/>
              </w:rPr>
              <w:t xml:space="preserve"> Salesforce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1E4FA0"/>
                <w:sz w:val="16"/>
                <w:szCs w:val="16"/>
                <w:shd w:fill="EEF3FC" w:color="auto" w:val="clear"/>
              </w:rPr>
              <w:t xml:space="preserve"> Zapier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1E4FA0"/>
                <w:sz w:val="16"/>
                <w:szCs w:val="16"/>
                <w:shd w:fill="EEF3FC" w:color="auto" w:val="clear"/>
              </w:rPr>
              <w:t xml:space="preserve"> Notion </w:t>
            </w:r>
          </w:p>
          <w:p>
            <w:r>
              <w:rPr>
                <w:rFonts w:ascii="Calibri" w:cs="Calibri" w:eastAsia="Calibri" w:hAnsi="Calibri"/>
                <w:color w:val="393C50"/>
                <w:sz w:val="17"/>
                <w:szCs w:val="17"/>
              </w:rPr>
              <w:t xml:space="preserve">Process Design · Program Mgmt · OKRs · Analytics · Change Mgmt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2563C4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5172A"/>
                <w:sz w:val="18"/>
                <w:szCs w:val="18"/>
              </w:rPr>
              <w:t xml:space="preserve">MBA — UC Berkeley (Haas)</w:t>
            </w:r>
          </w:p>
          <w:p>
            <w:r>
              <w:rPr>
                <w:rFonts w:ascii="Calibri" w:cs="Calibri" w:eastAsia="Calibri" w:hAnsi="Calibri"/>
                <w:color w:val="393C50"/>
                <w:sz w:val="18"/>
                <w:szCs w:val="18"/>
              </w:rPr>
              <w:t xml:space="preserve">B.A., Economics — UCLA</w:t>
            </w:r>
          </w:p>
        </w:tc>
      </w:tr>
    </w:tbl>
    <w:sectPr>
      <w:pgSz w:w="12240" w:h="15840" w:orient="portrait"/>
      <w:pgMar w:top="700" w:right="720" w:bottom="66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3C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tvsfvkdtwa3egl4bgkii" Type="http://schemas.openxmlformats.org/officeDocument/2006/relationships/hyperlink" Target="mailto:hannah.levi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2026-06-19T20:18:49.554Z</dcterms:created>
  <dcterms:modified xsi:type="dcterms:W3CDTF">2026-06-19T20:18:49.554Z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