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14F" w:color="auto" w:val="clear"/>
            <w:tcMar>
              <w:top w:type="dxa" w:w="440"/>
              <w:left w:type="dxa" w:w="660"/>
              <w:bottom w:type="dxa" w:w="4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7FAAD0"/>
                <w:spacing w:val="18"/>
                <w:sz w:val="17"/>
                <w:szCs w:val="17"/>
              </w:rPr>
              <w:t xml:space="preserve">SERVICE OPERATIONS MANAGER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9"/>
                <w:szCs w:val="59"/>
              </w:rPr>
              <w:t xml:space="preserve">Olivia Brooks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14F" w:color="auto" w:val="clear"/>
            <w:tcMar>
              <w:top w:type="dxa" w:w="440"/>
              <w:left w:type="dxa" w:w="0"/>
              <w:bottom w:type="dxa" w:w="460"/>
              <w:right w:type="dxa" w:w="66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9C0D6"/>
                <w:sz w:val="15"/>
                <w:szCs w:val="15"/>
              </w:rPr>
              <w:t xml:space="preserve">Phoenix, AZ</w:t>
            </w:r>
            <w:r>
              <w:rPr>
                <w:rFonts w:ascii="Consolas" w:cs="Consolas" w:eastAsia="Consolas" w:hAnsi="Consolas"/>
                <w:color w:val="A9C0D6"/>
                <w:sz w:val="15"/>
                <w:szCs w:val="15"/>
              </w:rPr>
              <w:br/>
              <w:t xml:space="preserve">(602)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tbl9_4vomupaau7wdgkh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  <w:u w:val="single"/>
                </w:rPr>
                <w:t xml:space="preserve">o.brooks@email.com</w:t>
              </w:r>
            </w:hyperlink>
            <w:r>
              <w:rPr>
                <w:rFonts w:ascii="Consolas" w:cs="Consolas" w:eastAsia="Consolas" w:hAnsi="Consolas"/>
                <w:color w:val="A9C0D6"/>
                <w:sz w:val="15"/>
                <w:szCs w:val="15"/>
              </w:rPr>
              <w:br/>
              <w:t xml:space="preserve">in/oliviabrooks</w:t>
            </w:r>
          </w:p>
        </w:tc>
      </w:tr>
    </w:tbl>
    <w:p>
      <w:pPr>
        <w:spacing w:after="200" w:before="300"/>
        <w:ind w:left="660" w:right="660"/>
      </w:pPr>
      <w:r>
        <w:rPr>
          <w:rFonts w:ascii="Calibri" w:cs="Calibri" w:eastAsia="Calibri" w:hAnsi="Calibri"/>
          <w:color w:val="33443F"/>
          <w:sz w:val="20"/>
          <w:szCs w:val="20"/>
        </w:rPr>
        <w:t xml:space="preserve">Service operations manager who delivers SLA, satisfaction, and cost — all three. Ten years running multi-channel contact-center operations, building capacity plans, coaching team leads, and holding the queue to target through peaks and outages. I balance the math of staffing with the craft of great service.</w:t>
      </w:r>
    </w:p>
    <w:p>
      <w:pPr>
        <w:spacing w:after="120" w:before="0"/>
        <w:ind w:left="660" w:right="660"/>
      </w:pPr>
      <w:r>
        <w:rPr>
          <w:rFonts w:ascii="Consolas" w:cs="Consolas" w:eastAsia="Consolas" w:hAnsi="Consolas"/>
          <w:b/>
          <w:bCs/>
          <w:color w:val="12314F"/>
          <w:spacing w:val="20"/>
          <w:sz w:val="17"/>
          <w:szCs w:val="17"/>
        </w:rPr>
        <w:t xml:space="preserve">SLA SCORECARD — TRAILING QUARTER</w:t>
      </w:r>
    </w:p>
    <w:tbl>
      <w:tblPr>
        <w:tblW w:type="dxa" w:w="10920"/>
        <w:tblInd w:type="dxa" w:w="660"/>
        <w:tblBorders>
          <w:top w:val="single" w:color="CFE4E3" w:sz="4"/>
          <w:left w:val="single" w:color="CFE4E3" w:sz="4"/>
          <w:bottom w:val="single" w:color="CFE4E3" w:sz="4"/>
          <w:right w:val="single" w:color="CFE4E3" w:sz="4"/>
          <w:insideH w:val="none"/>
          <w:insideV w:val="none"/>
        </w:tblBorders>
        <w:tblLayout w:type="fixed"/>
      </w:tblPr>
      <w:tblGrid>
        <w:gridCol w:w="4620"/>
        <w:gridCol w:w="2100"/>
        <w:gridCol w:w="2100"/>
        <w:gridCol w:w="210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740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METRIC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74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TARGET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74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ACTUAL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740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STATUS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Service Level (80/20)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80%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86%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Avg. Handle Time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6:30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5:48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CSAT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90%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94%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Cost per Contact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$5.20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$4.40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</w:tbl>
    <w:p>
      <w:pPr>
        <w:spacing w:after="130" w:before="260"/>
        <w:ind w:left="660" w:right="660"/>
      </w:pPr>
      <w:r>
        <w:rPr>
          <w:rFonts w:ascii="Consolas" w:cs="Consolas" w:eastAsia="Consolas" w:hAnsi="Consolas"/>
          <w:b/>
          <w:bCs/>
          <w:color w:val="12314F"/>
          <w:spacing w:val="20"/>
          <w:sz w:val="17"/>
          <w:szCs w:val="17"/>
        </w:rPr>
        <w:t xml:space="preserve">EXPERIENCE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Service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12314F"/>
          <w:sz w:val="18"/>
          <w:szCs w:val="18"/>
        </w:rPr>
        <w:t xml:space="preserve">American Express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Manage a 180-agent multi-channel contact center; consistently beat an 80/20 service level at 86%.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Cut cost-per-contact 15% while lifting CSAT to 94% through coaching and AHT reduction.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Built the capacity and forecasting model that holds SLA through seasonal peaks.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Contact Center Team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12314F"/>
          <w:sz w:val="18"/>
          <w:szCs w:val="18"/>
        </w:rPr>
        <w:t xml:space="preserve">USAA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Led 5 team leads and 60 agents; ranked #1 site for CSAT three years running.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Reduced attrition 24% through development paths and schedule flexibility.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Team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2014 – 2016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12314F"/>
          <w:sz w:val="18"/>
          <w:szCs w:val="18"/>
        </w:rPr>
        <w:t xml:space="preserve">Discover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Coached a team of 15 agents on quality, productivity, and customer experience.</w:t>
      </w:r>
    </w:p>
    <w:p>
      <w:pPr>
        <w:spacing w:after="60"/>
      </w:pPr>
    </w:p>
    <w:tbl>
      <w:tblPr>
        <w:tblW w:type="dxa" w:w="10920"/>
        <w:tblInd w:type="dxa" w:w="660"/>
        <w:tblBorders>
          <w:top w:val="single" w:color="DC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DCEAE8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2314F"/>
                <w:spacing w:val="12"/>
                <w:sz w:val="15"/>
                <w:szCs w:val="15"/>
              </w:rPr>
              <w:t xml:space="preserve">SKILLS &amp; SYSTEMS</w:t>
            </w:r>
          </w:p>
          <w:p>
            <w:r>
              <w:rPr>
                <w:rFonts w:ascii="Calibri" w:cs="Calibri" w:eastAsia="Calibri" w:hAnsi="Calibri"/>
                <w:color w:val="33443F"/>
                <w:sz w:val="17"/>
                <w:szCs w:val="17"/>
              </w:rPr>
              <w:t xml:space="preserve">WFM / Capacity Planning · Coaching · QA · Genesys · Salesforce Service Cloud · NICE · Tableau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2314F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1201F"/>
                <w:sz w:val="18"/>
                <w:szCs w:val="18"/>
              </w:rPr>
              <w:t xml:space="preserve">B.S., Business Administration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692"/>
                <w:sz w:val="17"/>
                <w:szCs w:val="17"/>
              </w:rPr>
              <w:t xml:space="preserve">Arizona State University</w:t>
            </w:r>
          </w:p>
          <w:p>
            <w:r>
              <w:rPr>
                <w:rFonts w:ascii="Calibri" w:cs="Calibri" w:eastAsia="Calibri" w:hAnsi="Calibri"/>
                <w:color w:val="33443F"/>
                <w:sz w:val="17"/>
                <w:szCs w:val="17"/>
              </w:rPr>
              <w:t xml:space="preserve">COPC · Lean Certified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4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tbl9_4vomupaau7wdgkh" Type="http://schemas.openxmlformats.org/officeDocument/2006/relationships/hyperlink" Target="mailto:o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2026-06-19T20:18:49.568Z</dcterms:created>
  <dcterms:modified xsi:type="dcterms:W3CDTF">2026-06-19T20:18:49.568Z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