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920"/>
        <w:tblBorders>
          <w:top w:val="none"/>
          <w:left w:val="none"/>
          <w:bottom w:val="single" w:color="0F7A5A" w:sz="16"/>
          <w:right w:val="none"/>
          <w:insideH w:val="none"/>
          <w:insideV w:val="none"/>
        </w:tblBorders>
        <w:tblLayout w:type="fixed"/>
      </w:tblPr>
      <w:tblGrid>
        <w:gridCol w:w="6552"/>
        <w:gridCol w:w="4368"/>
      </w:tblGrid>
      <w:tr>
        <w:tc>
          <w:tcPr>
            <w:tcW w:type="dxa" w:w="65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C1F18"/>
                <w:sz w:val="57"/>
                <w:szCs w:val="57"/>
              </w:rPr>
              <w:t xml:space="preserve">Priya Nair</w:t>
            </w:r>
          </w:p>
          <w:p>
            <w:r>
              <w:rPr>
                <w:rFonts w:ascii="Consolas" w:cs="Consolas" w:eastAsia="Consolas" w:hAnsi="Consolas"/>
                <w:b/>
                <w:bCs/>
                <w:color w:val="0F7A5A"/>
                <w:spacing w:val="14"/>
                <w:sz w:val="17"/>
                <w:szCs w:val="17"/>
              </w:rPr>
              <w:t xml:space="preserve">SUPPLY CHAIN OPERATIONS MANAGER</w:t>
            </w:r>
          </w:p>
        </w:tc>
        <w:tc>
          <w:tcPr>
            <w:tcW w:type="dxa" w:w="43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t xml:space="preserve">Memphis, TN</w:t>
            </w: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(901)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egejm1ok9urw5ri_cbsj">
              <w:r>
                <w:rPr>
                  <w:rFonts w:ascii="Calibri" w:cs="Calibri" w:eastAsia="Calibri" w:hAnsi="Calibri"/>
                  <w:color w:val="0F7A5A"/>
                  <w:sz w:val="17"/>
                  <w:szCs w:val="17"/>
                  <w:u w:val="single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in/priyanair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Supply chain operations manager who delivers on time, in full, at the right cost. Ten years owning the end-to-end flow — sourcing, planning, warehousing, and transportation — for high-volume distribution. I tighten OTIF, take cost out of freight, and keep inventory lean without starving the line.</w:t>
      </w:r>
    </w:p>
    <w:p>
      <w:pPr>
        <w:spacing w:after="120" w:before="0"/>
      </w:pPr>
      <w:r>
        <w:rPr>
          <w:rFonts w:ascii="Consolas" w:cs="Consolas" w:eastAsia="Consolas" w:hAnsi="Consolas"/>
          <w:b/>
          <w:bCs/>
          <w:color w:val="0F7A5A"/>
          <w:spacing w:val="20"/>
          <w:sz w:val="17"/>
          <w:szCs w:val="17"/>
        </w:rPr>
        <w:t xml:space="preserve">END-TO-END FLOW OWNED</w:t>
      </w: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05"/>
        <w:gridCol w:w="300"/>
        <w:gridCol w:w="2505"/>
        <w:gridCol w:w="300"/>
        <w:gridCol w:w="2505"/>
        <w:gridCol w:w="300"/>
        <w:gridCol w:w="2505"/>
      </w:tblGrid>
      <w:tr>
        <w:tc>
          <w:tcPr>
            <w:tcW w:type="dxa" w:w="2505"/>
            <w:tcBorders>
              <w:top w:val="single" w:color="CFE8DE" w:sz="4"/>
              <w:left w:val="single" w:color="CFE8DE" w:sz="4"/>
              <w:bottom w:val="single" w:color="CFE8DE" w:sz="4"/>
              <w:right w:val="single" w:color="CFE8DE" w:sz="4"/>
            </w:tcBorders>
            <w:shd w:fill="EEF7F3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F7A5A"/>
                <w:spacing w:val="3"/>
                <w:sz w:val="15"/>
                <w:szCs w:val="15"/>
              </w:rPr>
              <w:t xml:space="preserve">SOURCE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Supplier mgmt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7A5A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E8DE" w:sz="4"/>
              <w:left w:val="single" w:color="CFE8DE" w:sz="4"/>
              <w:bottom w:val="single" w:color="CFE8DE" w:sz="4"/>
              <w:right w:val="single" w:color="CFE8DE" w:sz="4"/>
            </w:tcBorders>
            <w:shd w:fill="EEF7F3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F7A5A"/>
                <w:spacing w:val="3"/>
                <w:sz w:val="15"/>
                <w:szCs w:val="15"/>
              </w:rPr>
              <w:t xml:space="preserve">PLAN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Demand / S&amp;OP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7A5A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E8DE" w:sz="4"/>
              <w:left w:val="single" w:color="CFE8DE" w:sz="4"/>
              <w:bottom w:val="single" w:color="CFE8DE" w:sz="4"/>
              <w:right w:val="single" w:color="CFE8DE" w:sz="4"/>
            </w:tcBorders>
            <w:shd w:fill="EEF7F3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F7A5A"/>
                <w:spacing w:val="3"/>
                <w:sz w:val="15"/>
                <w:szCs w:val="15"/>
              </w:rPr>
              <w:t xml:space="preserve">STORE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Warehouse / DC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7A5A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E8DE" w:sz="4"/>
              <w:left w:val="single" w:color="CFE8DE" w:sz="4"/>
              <w:bottom w:val="single" w:color="CFE8DE" w:sz="4"/>
              <w:right w:val="single" w:color="CFE8DE" w:sz="4"/>
            </w:tcBorders>
            <w:shd w:fill="EEF7F3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F7A5A"/>
                <w:spacing w:val="3"/>
                <w:sz w:val="15"/>
                <w:szCs w:val="15"/>
              </w:rPr>
              <w:t xml:space="preserve">DELIVER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Transportation</w:t>
            </w:r>
          </w:p>
        </w:tc>
      </w:tr>
    </w:tbl>
    <w:p>
      <w:pPr>
        <w:spacing w:after="15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5"/>
        <w:gridCol w:w="140"/>
        <w:gridCol w:w="2625"/>
        <w:gridCol w:w="140"/>
        <w:gridCol w:w="2625"/>
        <w:gridCol w:w="140"/>
        <w:gridCol w:w="2625"/>
      </w:tblGrid>
      <w:tr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352A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97.8%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FC4B3"/>
                <w:spacing w:val="3"/>
                <w:sz w:val="12"/>
                <w:szCs w:val="12"/>
              </w:rPr>
              <w:t xml:space="preserve">OTIF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352A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−21%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FC4B3"/>
                <w:spacing w:val="3"/>
                <w:sz w:val="12"/>
                <w:szCs w:val="12"/>
              </w:rPr>
              <w:t xml:space="preserve">FREIGHT COST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352A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8.4×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FC4B3"/>
                <w:spacing w:val="3"/>
                <w:sz w:val="12"/>
                <w:szCs w:val="12"/>
              </w:rPr>
              <w:t xml:space="preserve">INVENTORY TURNS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352A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$140M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FC4B3"/>
                <w:spacing w:val="3"/>
                <w:sz w:val="12"/>
                <w:szCs w:val="12"/>
              </w:rPr>
              <w:t xml:space="preserve">SPEND MANAGED</w:t>
            </w:r>
          </w:p>
        </w:tc>
      </w:tr>
    </w:tbl>
    <w:p>
      <w:pPr>
        <w:spacing w:after="130" w:before="260"/>
      </w:pPr>
      <w:r>
        <w:rPr>
          <w:rFonts w:ascii="Consolas" w:cs="Consolas" w:eastAsia="Consolas" w:hAnsi="Consolas"/>
          <w:b/>
          <w:bCs/>
          <w:color w:val="0F7A5A"/>
          <w:spacing w:val="20"/>
          <w:sz w:val="17"/>
          <w:szCs w:val="17"/>
        </w:rPr>
        <w:t xml:space="preserve">EXPERIENCE</w:t>
      </w: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Supply Chain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7A5A"/>
          <w:sz w:val="18"/>
          <w:szCs w:val="18"/>
        </w:rPr>
        <w:t xml:space="preserve">FedEx Supply Chain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Own end-to-end operations for a $140M flow; lifted OTIF from 92% to 97.8%.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Cut freight cost 21% by re-bidding lanes, building a carrier scorecard, and optimizing modes.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Improved inventory turns to 8.4× while holding 99% fill rate through better demand planning.</w:t>
      </w:r>
    </w:p>
    <w:p>
      <w:pPr>
        <w:spacing w:after="11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Logistics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7A5A"/>
          <w:sz w:val="18"/>
          <w:szCs w:val="18"/>
        </w:rPr>
        <w:t xml:space="preserve">Nike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Managed inbound and outbound transportation for a regional distribution network.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Led a TMS implementation that improved load utilization 14%.</w:t>
      </w:r>
    </w:p>
    <w:p>
      <w:pPr>
        <w:spacing w:after="11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Supply Chain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2014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7A5A"/>
          <w:sz w:val="18"/>
          <w:szCs w:val="18"/>
        </w:rPr>
        <w:t xml:space="preserve">International Paper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Built demand forecasts and inventory models supporting plant planning.</w:t>
      </w:r>
    </w:p>
    <w:p>
      <w:pPr>
        <w:spacing w:after="60"/>
      </w:pPr>
    </w:p>
    <w:tbl>
      <w:tblPr>
        <w:tblW w:type="dxa" w:w="10920"/>
        <w:tblBorders>
          <w:top w:val="single" w:color="DDE9E4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DDE9E4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F7A5A"/>
                <w:spacing w:val="12"/>
                <w:sz w:val="15"/>
                <w:szCs w:val="15"/>
              </w:rPr>
              <w:t xml:space="preserve">SKILLS &amp; SYSTEMS</w:t>
            </w:r>
          </w:p>
          <w:p>
            <w:r>
              <w:rPr>
                <w:rFonts w:ascii="Calibri" w:cs="Calibri" w:eastAsia="Calibri" w:hAnsi="Calibri"/>
                <w:color w:val="33433C"/>
                <w:sz w:val="17"/>
                <w:szCs w:val="17"/>
              </w:rPr>
              <w:t xml:space="preserve">S&amp;OP · Demand Planning · Transportation · Inventory · SAP · Oracle SCM · TMS · Lean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F7A5A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C1F18"/>
                <w:sz w:val="18"/>
                <w:szCs w:val="18"/>
              </w:rPr>
              <w:t xml:space="preserve">B.S., Supply Chain Management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089"/>
                <w:sz w:val="17"/>
                <w:szCs w:val="17"/>
              </w:rPr>
              <w:t xml:space="preserve">University of Tennessee</w:t>
            </w:r>
          </w:p>
          <w:p>
            <w:r>
              <w:rPr>
                <w:rFonts w:ascii="Calibri" w:cs="Calibri" w:eastAsia="Calibri" w:hAnsi="Calibri"/>
                <w:color w:val="33433C"/>
                <w:sz w:val="17"/>
                <w:szCs w:val="17"/>
              </w:rPr>
              <w:t xml:space="preserve">APICS CSCP · Lean Certified</w:t>
            </w:r>
          </w:p>
        </w:tc>
      </w:tr>
    </w:tbl>
    <w:sectPr>
      <w:pgSz w:w="12240" w:h="15840" w:orient="portrait"/>
      <w:pgMar w:top="700" w:right="660" w:bottom="660" w:left="6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egejm1ok9urw5ri_cbsj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2026-06-19T20:18:49.518Z</dcterms:created>
  <dcterms:modified xsi:type="dcterms:W3CDTF">2026-06-19T20:18:49.518Z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