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20"/>
        <w:tblBorders>
          <w:top w:val="none"/>
          <w:left w:val="none"/>
          <w:bottom w:val="single" w:color="1F5E96" w:sz="16"/>
          <w:right w:val="none"/>
          <w:insideH w:val="none"/>
          <w:insideV w:val="none"/>
        </w:tblBorders>
        <w:tblLayout w:type="fixed"/>
      </w:tblPr>
      <w:tblGrid>
        <w:gridCol w:w="6552"/>
        <w:gridCol w:w="4368"/>
      </w:tblGrid>
      <w:tr>
        <w:tc>
          <w:tcPr>
            <w:tcW w:type="dxa" w:w="65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57"/>
                <w:szCs w:val="57"/>
              </w:rPr>
              <w:t xml:space="preserve">Priya Nair</w:t>
            </w:r>
          </w:p>
          <w:p>
            <w:r>
              <w:rPr>
                <w:rFonts w:ascii="Consolas" w:cs="Consolas" w:eastAsia="Consolas" w:hAnsi="Consolas"/>
                <w:b/>
                <w:bCs/>
                <w:color w:val="1F5E96"/>
                <w:spacing w:val="14"/>
                <w:sz w:val="17"/>
                <w:szCs w:val="17"/>
              </w:rPr>
              <w:t xml:space="preserve">SUPPLY CHAIN OPERATIONS MANAGER</w:t>
            </w:r>
          </w:p>
        </w:tc>
        <w:tc>
          <w:tcPr>
            <w:tcW w:type="dxa" w:w="43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Memphis, TN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(901)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dt4z0ksw4onzr0excask">
              <w:r>
                <w:rPr>
                  <w:rFonts w:ascii="Calibri" w:cs="Calibri" w:eastAsia="Calibri" w:hAnsi="Calibri"/>
                  <w:color w:val="1F5E96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in/priyanair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Supply chain operations manager who delivers on time, in full, at the right cost. Ten years owning the end-to-end flow — sourcing, planning, warehousing, and transportation — for high-volume distribution. I tighten OTIF, take cost out of freight, and keep inventory lean without starving the line.</w:t>
      </w:r>
    </w:p>
    <w:p>
      <w:pPr>
        <w:spacing w:after="120" w:before="0"/>
      </w:pPr>
      <w:r>
        <w:rPr>
          <w:rFonts w:ascii="Consolas" w:cs="Consolas" w:eastAsia="Consolas" w:hAnsi="Consolas"/>
          <w:b/>
          <w:bCs/>
          <w:color w:val="1F5E96"/>
          <w:spacing w:val="20"/>
          <w:sz w:val="17"/>
          <w:szCs w:val="17"/>
        </w:rPr>
        <w:t xml:space="preserve">END-TO-END FLOW OWNED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300"/>
        <w:gridCol w:w="2505"/>
        <w:gridCol w:w="300"/>
        <w:gridCol w:w="2505"/>
        <w:gridCol w:w="300"/>
        <w:gridCol w:w="2505"/>
      </w:tblGrid>
      <w:tr>
        <w:tc>
          <w:tcPr>
            <w:tcW w:type="dxa" w:w="2505"/>
            <w:tcBorders>
              <w:top w:val="single" w:color="CFDDEC" w:sz="4"/>
              <w:left w:val="single" w:color="CFDDEC" w:sz="4"/>
              <w:bottom w:val="single" w:color="CFDDEC" w:sz="4"/>
              <w:right w:val="single" w:color="CFDDEC" w:sz="4"/>
            </w:tcBorders>
            <w:shd w:fill="EEF3F8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3"/>
                <w:sz w:val="15"/>
                <w:szCs w:val="15"/>
              </w:rPr>
              <w:t xml:space="preserve">SOURCE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Supplier mgmt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5E96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DDEC" w:sz="4"/>
              <w:left w:val="single" w:color="CFDDEC" w:sz="4"/>
              <w:bottom w:val="single" w:color="CFDDEC" w:sz="4"/>
              <w:right w:val="single" w:color="CFDDEC" w:sz="4"/>
            </w:tcBorders>
            <w:shd w:fill="EEF3F8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3"/>
                <w:sz w:val="15"/>
                <w:szCs w:val="15"/>
              </w:rPr>
              <w:t xml:space="preserve">PLAN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Demand / S&amp;OP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5E96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DDEC" w:sz="4"/>
              <w:left w:val="single" w:color="CFDDEC" w:sz="4"/>
              <w:bottom w:val="single" w:color="CFDDEC" w:sz="4"/>
              <w:right w:val="single" w:color="CFDDEC" w:sz="4"/>
            </w:tcBorders>
            <w:shd w:fill="EEF3F8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3"/>
                <w:sz w:val="15"/>
                <w:szCs w:val="15"/>
              </w:rPr>
              <w:t xml:space="preserve">STORE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Warehouse / DC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5E96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DDEC" w:sz="4"/>
              <w:left w:val="single" w:color="CFDDEC" w:sz="4"/>
              <w:bottom w:val="single" w:color="CFDDEC" w:sz="4"/>
              <w:right w:val="single" w:color="CFDDEC" w:sz="4"/>
            </w:tcBorders>
            <w:shd w:fill="EEF3F8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3"/>
                <w:sz w:val="15"/>
                <w:szCs w:val="15"/>
              </w:rPr>
              <w:t xml:space="preserve">DELIVER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Transportation</w:t>
            </w:r>
          </w:p>
        </w:tc>
      </w:tr>
    </w:tbl>
    <w:p>
      <w:pPr>
        <w:spacing w:after="15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97.8%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B0C8"/>
                <w:spacing w:val="3"/>
                <w:sz w:val="12"/>
                <w:szCs w:val="12"/>
              </w:rPr>
              <w:t xml:space="preserve">OTIF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−21%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B0C8"/>
                <w:spacing w:val="3"/>
                <w:sz w:val="12"/>
                <w:szCs w:val="12"/>
              </w:rPr>
              <w:t xml:space="preserve">FREIGHT COST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8.4×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B0C8"/>
                <w:spacing w:val="3"/>
                <w:sz w:val="12"/>
                <w:szCs w:val="12"/>
              </w:rPr>
              <w:t xml:space="preserve">INVENTORY TURNS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$140M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B0C8"/>
                <w:spacing w:val="3"/>
                <w:sz w:val="12"/>
                <w:szCs w:val="12"/>
              </w:rPr>
              <w:t xml:space="preserve">SPEND MANAGED</w:t>
            </w:r>
          </w:p>
        </w:tc>
      </w:tr>
    </w:tbl>
    <w:p>
      <w:pPr>
        <w:spacing w:after="130" w:before="260"/>
      </w:pPr>
      <w:r>
        <w:rPr>
          <w:rFonts w:ascii="Consolas" w:cs="Consolas" w:eastAsia="Consolas" w:hAnsi="Consolas"/>
          <w:b/>
          <w:bCs/>
          <w:color w:val="1F5E96"/>
          <w:spacing w:val="20"/>
          <w:sz w:val="17"/>
          <w:szCs w:val="17"/>
        </w:rPr>
        <w:t xml:space="preserve">EXPERIENCE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FedEx Supply Chain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Own end-to-end operations for a $140M flow; lifted OTIF from 92% to 97.8%.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Cut freight cost 21% by re-bidding lanes, building a carrier scorecard, and optimizing modes.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Improved inventory turns to 8.4× while holding 99% fill rate through better demand planning.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Logistics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Nike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Managed inbound and outbound transportation for a regional distribution network.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a TMS implementation that improved load utilization 14%.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International Paper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demand forecasts and inventory models supporting plant planning.</w:t>
      </w:r>
    </w:p>
    <w:p>
      <w:pPr>
        <w:spacing w:after="60"/>
      </w:pPr>
    </w:p>
    <w:tbl>
      <w:tblPr>
        <w:tblW w:type="dxa" w:w="10920"/>
        <w:tblBorders>
          <w:top w:val="single" w:color="DDE9E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DE9E4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S&amp;OP · Demand Planning · Transportation · Inventory · SAP · Oracle SCM · TMS · Lean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F5E96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18"/>
                <w:szCs w:val="18"/>
              </w:rPr>
              <w:t xml:space="preserve">B.S., Supply Chain Management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089"/>
                <w:sz w:val="17"/>
                <w:szCs w:val="17"/>
              </w:rPr>
              <w:t xml:space="preserve">University of Tennessee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APICS CSCP · Lean Certified</w:t>
            </w:r>
          </w:p>
        </w:tc>
      </w:tr>
    </w:tbl>
    <w:sectPr>
      <w:pgSz w:w="12240" w:h="15840" w:orient="portrait"/>
      <w:pgMar w:top="700" w:right="660" w:bottom="660" w:left="6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dt4z0ksw4onzr0excask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2026-06-19T20:18:49.526Z</dcterms:created>
  <dcterms:modified xsi:type="dcterms:W3CDTF">2026-06-19T20:18:49.526Z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