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920"/>
        <w:tblBorders>
          <w:top w:val="none"/>
          <w:left w:val="none"/>
          <w:bottom w:val="single" w:color="0E7C84" w:sz="16"/>
          <w:right w:val="none"/>
          <w:insideH w:val="none"/>
          <w:insideV w:val="none"/>
        </w:tblBorders>
        <w:tblLayout w:type="fixed"/>
      </w:tblPr>
      <w:tblGrid>
        <w:gridCol w:w="6552"/>
        <w:gridCol w:w="4368"/>
      </w:tblGrid>
      <w:tr>
        <w:tc>
          <w:tcPr>
            <w:tcW w:type="dxa" w:w="65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C1F18"/>
                <w:sz w:val="57"/>
                <w:szCs w:val="57"/>
              </w:rPr>
              <w:t xml:space="preserve">Priya Nair</w:t>
            </w:r>
          </w:p>
          <w:p>
            <w:r>
              <w:rPr>
                <w:rFonts w:ascii="Consolas" w:cs="Consolas" w:eastAsia="Consolas" w:hAnsi="Consolas"/>
                <w:b/>
                <w:bCs/>
                <w:color w:val="0E7C84"/>
                <w:spacing w:val="14"/>
                <w:sz w:val="17"/>
                <w:szCs w:val="17"/>
              </w:rPr>
              <w:t xml:space="preserve">SUPPLY CHAIN OPERATIONS MANAGER</w:t>
            </w:r>
          </w:p>
        </w:tc>
        <w:tc>
          <w:tcPr>
            <w:tcW w:type="dxa" w:w="436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6F68"/>
                <w:sz w:val="17"/>
                <w:szCs w:val="17"/>
              </w:rPr>
              <w:t xml:space="preserve">Memphis, TN</w:t>
            </w:r>
            <w:r>
              <w:rPr>
                <w:rFonts w:ascii="Calibri" w:cs="Calibri" w:eastAsia="Calibri" w:hAnsi="Calibri"/>
                <w:color w:val="5F6F68"/>
                <w:sz w:val="17"/>
                <w:szCs w:val="17"/>
              </w:rPr>
              <w:br/>
              <w:t xml:space="preserve">(901)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-1ftzbwm-vxin_oezswy8">
              <w:r>
                <w:rPr>
                  <w:rFonts w:ascii="Calibri" w:cs="Calibri" w:eastAsia="Calibri" w:hAnsi="Calibri"/>
                  <w:color w:val="0E7C84"/>
                  <w:sz w:val="17"/>
                  <w:szCs w:val="17"/>
                  <w:u w:val="single"/>
                </w:rPr>
                <w:t xml:space="preserve">priya.nair@email.com</w:t>
              </w:r>
            </w:hyperlink>
            <w:r>
              <w:rPr>
                <w:rFonts w:ascii="Calibri" w:cs="Calibri" w:eastAsia="Calibri" w:hAnsi="Calibri"/>
                <w:color w:val="5F6F68"/>
                <w:sz w:val="17"/>
                <w:szCs w:val="17"/>
              </w:rPr>
              <w:br/>
              <w:t xml:space="preserve">in/priyanair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3433C"/>
          <w:sz w:val="20"/>
          <w:szCs w:val="20"/>
        </w:rPr>
        <w:t xml:space="preserve">Supply chain operations manager who delivers on time, in full, at the right cost. Ten years owning the end-to-end flow — sourcing, planning, warehousing, and transportation — for high-volume distribution. I tighten OTIF, take cost out of freight, and keep inventory lean without starving the line.</w:t>
      </w:r>
    </w:p>
    <w:p>
      <w:pPr>
        <w:spacing w:after="120" w:before="0"/>
      </w:pPr>
      <w:r>
        <w:rPr>
          <w:rFonts w:ascii="Consolas" w:cs="Consolas" w:eastAsia="Consolas" w:hAnsi="Consolas"/>
          <w:b/>
          <w:bCs/>
          <w:color w:val="0E7C84"/>
          <w:spacing w:val="20"/>
          <w:sz w:val="17"/>
          <w:szCs w:val="17"/>
        </w:rPr>
        <w:t xml:space="preserve">END-TO-END FLOW OWNED</w:t>
      </w:r>
    </w:p>
    <w:tbl>
      <w:tblPr>
        <w:tblW w:type="dxa" w:w="109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05"/>
        <w:gridCol w:w="300"/>
        <w:gridCol w:w="2505"/>
        <w:gridCol w:w="300"/>
        <w:gridCol w:w="2505"/>
        <w:gridCol w:w="300"/>
        <w:gridCol w:w="2505"/>
      </w:tblGrid>
      <w:tr>
        <w:tc>
          <w:tcPr>
            <w:tcW w:type="dxa" w:w="2505"/>
            <w:tcBorders>
              <w:top w:val="single" w:color="CFE6E6" w:sz="4"/>
              <w:left w:val="single" w:color="CFE6E6" w:sz="4"/>
              <w:bottom w:val="single" w:color="CFE6E6" w:sz="4"/>
              <w:right w:val="single" w:color="CFE6E6" w:sz="4"/>
            </w:tcBorders>
            <w:shd w:fill="EAF6F6" w:color="auto" w:val="clear"/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E7C84"/>
                <w:spacing w:val="3"/>
                <w:sz w:val="15"/>
                <w:szCs w:val="15"/>
              </w:rPr>
              <w:t xml:space="preserve">SOURCE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46564F"/>
                <w:sz w:val="16"/>
                <w:szCs w:val="16"/>
              </w:rPr>
              <w:t xml:space="preserve">Supplier mgmt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7C84"/>
                <w:sz w:val="24"/>
                <w:szCs w:val="24"/>
              </w:rPr>
              <w:t xml:space="preserve">›</w:t>
            </w:r>
          </w:p>
        </w:tc>
        <w:tc>
          <w:tcPr>
            <w:tcW w:type="dxa" w:w="2505"/>
            <w:tcBorders>
              <w:top w:val="single" w:color="CFE6E6" w:sz="4"/>
              <w:left w:val="single" w:color="CFE6E6" w:sz="4"/>
              <w:bottom w:val="single" w:color="CFE6E6" w:sz="4"/>
              <w:right w:val="single" w:color="CFE6E6" w:sz="4"/>
            </w:tcBorders>
            <w:shd w:fill="EAF6F6" w:color="auto" w:val="clear"/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E7C84"/>
                <w:spacing w:val="3"/>
                <w:sz w:val="15"/>
                <w:szCs w:val="15"/>
              </w:rPr>
              <w:t xml:space="preserve">PLAN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46564F"/>
                <w:sz w:val="16"/>
                <w:szCs w:val="16"/>
              </w:rPr>
              <w:t xml:space="preserve">Demand / S&amp;OP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7C84"/>
                <w:sz w:val="24"/>
                <w:szCs w:val="24"/>
              </w:rPr>
              <w:t xml:space="preserve">›</w:t>
            </w:r>
          </w:p>
        </w:tc>
        <w:tc>
          <w:tcPr>
            <w:tcW w:type="dxa" w:w="2505"/>
            <w:tcBorders>
              <w:top w:val="single" w:color="CFE6E6" w:sz="4"/>
              <w:left w:val="single" w:color="CFE6E6" w:sz="4"/>
              <w:bottom w:val="single" w:color="CFE6E6" w:sz="4"/>
              <w:right w:val="single" w:color="CFE6E6" w:sz="4"/>
            </w:tcBorders>
            <w:shd w:fill="EAF6F6" w:color="auto" w:val="clear"/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E7C84"/>
                <w:spacing w:val="3"/>
                <w:sz w:val="15"/>
                <w:szCs w:val="15"/>
              </w:rPr>
              <w:t xml:space="preserve">STORE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46564F"/>
                <w:sz w:val="16"/>
                <w:szCs w:val="16"/>
              </w:rPr>
              <w:t xml:space="preserve">Warehouse / DC</w:t>
            </w: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7C84"/>
                <w:sz w:val="24"/>
                <w:szCs w:val="24"/>
              </w:rPr>
              <w:t xml:space="preserve">›</w:t>
            </w:r>
          </w:p>
        </w:tc>
        <w:tc>
          <w:tcPr>
            <w:tcW w:type="dxa" w:w="2505"/>
            <w:tcBorders>
              <w:top w:val="single" w:color="CFE6E6" w:sz="4"/>
              <w:left w:val="single" w:color="CFE6E6" w:sz="4"/>
              <w:bottom w:val="single" w:color="CFE6E6" w:sz="4"/>
              <w:right w:val="single" w:color="CFE6E6" w:sz="4"/>
            </w:tcBorders>
            <w:shd w:fill="EAF6F6" w:color="auto" w:val="clear"/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0E7C84"/>
                <w:spacing w:val="3"/>
                <w:sz w:val="15"/>
                <w:szCs w:val="15"/>
              </w:rPr>
              <w:t xml:space="preserve">DELIVER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46564F"/>
                <w:sz w:val="16"/>
                <w:szCs w:val="16"/>
              </w:rPr>
              <w:t xml:space="preserve">Transportation</w:t>
            </w:r>
          </w:p>
        </w:tc>
      </w:tr>
    </w:tbl>
    <w:p>
      <w:pPr>
        <w:spacing w:after="150"/>
      </w:pPr>
    </w:p>
    <w:tbl>
      <w:tblPr>
        <w:tblW w:type="dxa" w:w="109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25"/>
        <w:gridCol w:w="140"/>
        <w:gridCol w:w="2625"/>
        <w:gridCol w:w="140"/>
        <w:gridCol w:w="2625"/>
        <w:gridCol w:w="140"/>
        <w:gridCol w:w="2625"/>
      </w:tblGrid>
      <w:tr>
        <w:tc>
          <w:tcPr>
            <w:tcW w:type="dxa" w:w="262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3A40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97.8%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FC4C8"/>
                <w:spacing w:val="3"/>
                <w:sz w:val="12"/>
                <w:szCs w:val="12"/>
              </w:rPr>
              <w:t xml:space="preserve">OTIF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2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3A40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−21%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FC4C8"/>
                <w:spacing w:val="3"/>
                <w:sz w:val="12"/>
                <w:szCs w:val="12"/>
              </w:rPr>
              <w:t xml:space="preserve">FREIGHT COST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2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3A40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8.4×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FC4C8"/>
                <w:spacing w:val="3"/>
                <w:sz w:val="12"/>
                <w:szCs w:val="12"/>
              </w:rPr>
              <w:t xml:space="preserve">INVENTORY TURNS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2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23A40" w:color="auto" w:val="clear"/>
            <w:tcMar>
              <w:top w:type="dxa" w:w="140"/>
              <w:left w:type="dxa" w:w="100"/>
              <w:bottom w:type="dxa" w:w="130"/>
              <w:right w:type="dxa" w:w="10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FFFFFF"/>
                <w:sz w:val="30"/>
                <w:szCs w:val="30"/>
              </w:rPr>
              <w:t xml:space="preserve">$140M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FC4C8"/>
                <w:spacing w:val="3"/>
                <w:sz w:val="12"/>
                <w:szCs w:val="12"/>
              </w:rPr>
              <w:t xml:space="preserve">SPEND MANAGED</w:t>
            </w:r>
          </w:p>
        </w:tc>
      </w:tr>
    </w:tbl>
    <w:p>
      <w:pPr>
        <w:spacing w:after="130" w:before="260"/>
      </w:pPr>
      <w:r>
        <w:rPr>
          <w:rFonts w:ascii="Consolas" w:cs="Consolas" w:eastAsia="Consolas" w:hAnsi="Consolas"/>
          <w:b/>
          <w:bCs/>
          <w:color w:val="0E7C84"/>
          <w:spacing w:val="20"/>
          <w:sz w:val="17"/>
          <w:szCs w:val="17"/>
        </w:rPr>
        <w:t xml:space="preserve">EXPERIENCE</w:t>
      </w:r>
    </w:p>
    <w:tbl>
      <w:tblPr>
        <w:tblW w:type="dxa" w:w="109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C1F18"/>
                <w:sz w:val="20"/>
                <w:szCs w:val="20"/>
              </w:rPr>
              <w:t xml:space="preserve">Supply Chain Operations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0A39B"/>
                <w:sz w:val="16"/>
                <w:szCs w:val="16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7C84"/>
          <w:sz w:val="18"/>
          <w:szCs w:val="18"/>
        </w:rPr>
        <w:t xml:space="preserve">FedEx Supply Chain — Memphis, TN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Own end-to-end operations for a $140M flow; lifted OTIF from 92% to 97.8%.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Cut freight cost 21% by re-bidding lanes, building a carrier scorecard, and optimizing modes.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Improved inventory turns to 8.4× while holding 99% fill rate through better demand planning.</w:t>
      </w:r>
    </w:p>
    <w:p>
      <w:pPr>
        <w:spacing w:after="110"/>
      </w:pPr>
    </w:p>
    <w:tbl>
      <w:tblPr>
        <w:tblW w:type="dxa" w:w="109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C1F18"/>
                <w:sz w:val="20"/>
                <w:szCs w:val="20"/>
              </w:rPr>
              <w:t xml:space="preserve">Logistics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0A39B"/>
                <w:sz w:val="16"/>
                <w:szCs w:val="16"/>
              </w:rPr>
              <w:t xml:space="preserve">2016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7C84"/>
          <w:sz w:val="18"/>
          <w:szCs w:val="18"/>
        </w:rPr>
        <w:t xml:space="preserve">Nike — Memphis, TN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Managed inbound and outbound transportation for a regional distribution network.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Led a TMS implementation that improved load utilization 14%.</w:t>
      </w:r>
    </w:p>
    <w:p>
      <w:pPr>
        <w:spacing w:after="110"/>
      </w:pPr>
    </w:p>
    <w:tbl>
      <w:tblPr>
        <w:tblW w:type="dxa" w:w="109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7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C1F18"/>
                <w:sz w:val="20"/>
                <w:szCs w:val="20"/>
              </w:rPr>
              <w:t xml:space="preserve">Supply Chain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0A39B"/>
                <w:sz w:val="16"/>
                <w:szCs w:val="16"/>
              </w:rPr>
              <w:t xml:space="preserve">2014 – 2016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7C84"/>
          <w:sz w:val="18"/>
          <w:szCs w:val="18"/>
        </w:rPr>
        <w:t xml:space="preserve">International Paper — Memphis, TN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Built demand forecasts and inventory models supporting plant planning.</w:t>
      </w:r>
    </w:p>
    <w:p>
      <w:pPr>
        <w:spacing w:after="60"/>
      </w:pPr>
    </w:p>
    <w:tbl>
      <w:tblPr>
        <w:tblW w:type="dxa" w:w="10920"/>
        <w:tblBorders>
          <w:top w:val="single" w:color="DDE9E4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69"/>
        <w:gridCol w:w="4551"/>
      </w:tblGrid>
      <w:tr>
        <w:tc>
          <w:tcPr>
            <w:tcW w:type="dxa" w:w="6369"/>
            <w:tcBorders>
              <w:top w:val="none" w:color="FFFFFF" w:sz="0"/>
              <w:left w:val="none" w:color="FFFFFF" w:sz="0"/>
              <w:bottom w:val="none" w:color="FFFFFF" w:sz="0"/>
              <w:right w:val="single" w:color="DDE9E4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0E7C84"/>
                <w:spacing w:val="12"/>
                <w:sz w:val="15"/>
                <w:szCs w:val="15"/>
              </w:rPr>
              <w:t xml:space="preserve">SKILLS &amp; SYSTEMS</w:t>
            </w:r>
          </w:p>
          <w:p>
            <w:r>
              <w:rPr>
                <w:rFonts w:ascii="Calibri" w:cs="Calibri" w:eastAsia="Calibri" w:hAnsi="Calibri"/>
                <w:color w:val="33433C"/>
                <w:sz w:val="17"/>
                <w:szCs w:val="17"/>
              </w:rPr>
              <w:t xml:space="preserve">S&amp;OP · Demand Planning · Transportation · Inventory · SAP · Oracle SCM · TMS · Lean</w:t>
            </w:r>
          </w:p>
        </w:tc>
        <w:tc>
          <w:tcPr>
            <w:tcW w:type="dxa" w:w="455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0E7C84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0C1F18"/>
                <w:sz w:val="18"/>
                <w:szCs w:val="18"/>
              </w:rPr>
              <w:t xml:space="preserve">B.S., Supply Chain Management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7E9089"/>
                <w:sz w:val="17"/>
                <w:szCs w:val="17"/>
              </w:rPr>
              <w:t xml:space="preserve">University of Tennessee</w:t>
            </w:r>
          </w:p>
          <w:p>
            <w:r>
              <w:rPr>
                <w:rFonts w:ascii="Calibri" w:cs="Calibri" w:eastAsia="Calibri" w:hAnsi="Calibri"/>
                <w:color w:val="33433C"/>
                <w:sz w:val="17"/>
                <w:szCs w:val="17"/>
              </w:rPr>
              <w:t xml:space="preserve">APICS CSCP · Lean Certified</w:t>
            </w:r>
          </w:p>
        </w:tc>
      </w:tr>
    </w:tbl>
    <w:sectPr>
      <w:pgSz w:w="12240" w:h="15840" w:orient="portrait"/>
      <w:pgMar w:top="700" w:right="660" w:bottom="660" w:left="6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3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-1ftzbwm-vxin_oezswy8" Type="http://schemas.openxmlformats.org/officeDocument/2006/relationships/hyperlink" Target="mailto:priya.nai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2026-06-19T20:18:49.532Z</dcterms:created>
  <dcterms:modified xsi:type="dcterms:W3CDTF">2026-06-19T20:18:49.532Z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