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41B12" w:color="auto" w:val="clear"/>
            <w:tcMar>
              <w:top w:type="dxa" w:w="580"/>
              <w:left w:type="dxa" w:w="420"/>
              <w:bottom w:type="dxa" w:w="520"/>
              <w:right w:type="dxa" w:w="400"/>
            </w:tcMar>
            <w:vAlign w:val="top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4"/>
                <w:szCs w:val="44"/>
              </w:rPr>
              <w:t xml:space="preserve">Damon Carter</w:t>
            </w:r>
          </w:p>
          <w:p>
            <w:pPr>
              <w:spacing w:after="140"/>
            </w:pPr>
            <w:r>
              <w:rPr>
                <w:rFonts w:ascii="Consolas" w:cs="Consolas" w:eastAsia="Consolas" w:hAnsi="Consolas"/>
                <w:color w:val="F0A04B"/>
                <w:sz w:val="16"/>
                <w:szCs w:val="16"/>
              </w:rPr>
              <w:t xml:space="preserve">Distribution Center Manager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A99C8A"/>
                <w:sz w:val="16"/>
                <w:szCs w:val="16"/>
              </w:rPr>
              <w:t xml:space="preserve">Joliet, IL</w:t>
            </w:r>
            <w:r>
              <w:rPr>
                <w:rFonts w:ascii="Consolas" w:cs="Consolas" w:eastAsia="Consolas" w:hAnsi="Consolas"/>
                <w:color w:val="A99C8A"/>
                <w:sz w:val="16"/>
                <w:szCs w:val="16"/>
              </w:rPr>
              <w:br/>
              <w:t xml:space="preserve">(815)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1ywlxpo9eb2ovnq5wybih">
              <w:r>
                <w:rPr>
                  <w:rFonts w:ascii="Consolas" w:cs="Consolas" w:eastAsia="Consolas" w:hAnsi="Consolas"/>
                  <w:color w:val="E7DDD0"/>
                  <w:sz w:val="16"/>
                  <w:szCs w:val="16"/>
                  <w:u w:val="single"/>
                </w:rPr>
                <w:t xml:space="preserve">d.carter@email.com</w:t>
              </w:r>
            </w:hyperlink>
            <w:r>
              <w:rPr>
                <w:rFonts w:ascii="Consolas" w:cs="Consolas" w:eastAsia="Consolas" w:hAnsi="Consolas"/>
                <w:color w:val="A99C8A"/>
                <w:sz w:val="16"/>
                <w:szCs w:val="16"/>
              </w:rPr>
              <w:br/>
              <w:t xml:space="preserve">in/damoncarter</w:t>
            </w:r>
          </w:p>
          <w:p>
            <w:pPr>
              <w:spacing w:after="90" w:before="200"/>
            </w:pPr>
            <w:r>
              <w:rPr>
                <w:rFonts w:ascii="Consolas" w:cs="Consolas" w:eastAsia="Consolas" w:hAnsi="Consolas"/>
                <w:color w:val="F0A04B"/>
                <w:spacing w:val="12"/>
                <w:sz w:val="15"/>
                <w:szCs w:val="15"/>
              </w:rPr>
              <w:t xml:space="preserve">DC PROFILE</w:t>
            </w:r>
          </w:p>
          <w:tbl>
            <w:tblPr>
              <w:tblW w:type="dxa" w:w="3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700"/>
              <w:gridCol w:w="1500"/>
            </w:tblGrid>
            <w:tr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3A2F22" w:sz="4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70"/>
                    <w:right w:type="dxa" w:w="60"/>
                  </w:tcMar>
                </w:tcPr>
                <w:p>
                  <w:r>
                    <w:rPr>
                      <w:rFonts w:ascii="Consolas" w:cs="Consolas" w:eastAsia="Consolas" w:hAnsi="Consolas"/>
                      <w:color w:val="A99C8A"/>
                      <w:sz w:val="17"/>
                      <w:szCs w:val="17"/>
                    </w:rPr>
                    <w:t xml:space="preserve">Size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single" w:color="3A2F22" w:sz="4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70"/>
                    <w:right w:type="dxa" w:w="0"/>
                  </w:tcMar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FFFFFF"/>
                      <w:sz w:val="17"/>
                      <w:szCs w:val="17"/>
                    </w:rPr>
                    <w:t xml:space="preserve">1.1M sq ft</w:t>
                  </w:r>
                </w:p>
              </w:tc>
            </w:tr>
            <w:tr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3A2F22" w:sz="4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70"/>
                    <w:right w:type="dxa" w:w="60"/>
                  </w:tcMar>
                </w:tcPr>
                <w:p>
                  <w:r>
                    <w:rPr>
                      <w:rFonts w:ascii="Consolas" w:cs="Consolas" w:eastAsia="Consolas" w:hAnsi="Consolas"/>
                      <w:color w:val="A99C8A"/>
                      <w:sz w:val="17"/>
                      <w:szCs w:val="17"/>
                    </w:rPr>
                    <w:t xml:space="preserve">Headcount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single" w:color="3A2F22" w:sz="4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70"/>
                    <w:right w:type="dxa" w:w="0"/>
                  </w:tcMar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FFFFFF"/>
                      <w:sz w:val="17"/>
                      <w:szCs w:val="17"/>
                    </w:rPr>
                    <w:t xml:space="preserve">340</w:t>
                  </w:r>
                </w:p>
              </w:tc>
            </w:tr>
            <w:tr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3A2F22" w:sz="4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70"/>
                    <w:right w:type="dxa" w:w="60"/>
                  </w:tcMar>
                </w:tcPr>
                <w:p>
                  <w:r>
                    <w:rPr>
                      <w:rFonts w:ascii="Consolas" w:cs="Consolas" w:eastAsia="Consolas" w:hAnsi="Consolas"/>
                      <w:color w:val="A99C8A"/>
                      <w:sz w:val="17"/>
                      <w:szCs w:val="17"/>
                    </w:rPr>
                    <w:t xml:space="preserve">Shifts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single" w:color="3A2F22" w:sz="4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70"/>
                    <w:right w:type="dxa" w:w="0"/>
                  </w:tcMar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FFFFFF"/>
                      <w:sz w:val="17"/>
                      <w:szCs w:val="17"/>
                    </w:rPr>
                    <w:t xml:space="preserve">3 · 24/5</w:t>
                  </w:r>
                </w:p>
              </w:tc>
            </w:tr>
            <w:tr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70"/>
                    <w:right w:type="dxa" w:w="60"/>
                  </w:tcMar>
                </w:tcPr>
                <w:p>
                  <w:r>
                    <w:rPr>
                      <w:rFonts w:ascii="Consolas" w:cs="Consolas" w:eastAsia="Consolas" w:hAnsi="Consolas"/>
                      <w:color w:val="A99C8A"/>
                      <w:sz w:val="17"/>
                      <w:szCs w:val="17"/>
                    </w:rPr>
                    <w:t xml:space="preserve">Orders/day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70"/>
                    <w:right w:type="dxa" w:w="0"/>
                  </w:tcMar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FFFFFF"/>
                      <w:sz w:val="17"/>
                      <w:szCs w:val="17"/>
                    </w:rPr>
                    <w:t xml:space="preserve">48,000</w:t>
                  </w:r>
                </w:p>
              </w:tc>
            </w:tr>
          </w:tbl>
          <w:p>
            <w:pPr>
              <w:spacing w:after="90" w:before="200"/>
            </w:pPr>
            <w:r>
              <w:rPr>
                <w:rFonts w:ascii="Consolas" w:cs="Consolas" w:eastAsia="Consolas" w:hAnsi="Consolas"/>
                <w:color w:val="F0A04B"/>
                <w:spacing w:val="12"/>
                <w:sz w:val="15"/>
                <w:szCs w:val="15"/>
              </w:rPr>
              <w:t xml:space="preserve">SKILLS</w:t>
            </w:r>
          </w:p>
          <w:p>
            <w:r>
              <w:rPr>
                <w:rFonts w:ascii="Calibri" w:cs="Calibri" w:eastAsia="Calibri" w:hAnsi="Calibri"/>
                <w:color w:val="E7DDD0"/>
                <w:sz w:val="17"/>
                <w:szCs w:val="17"/>
              </w:rPr>
              <w:t xml:space="preserve">Fulfillment · Labor Planning · Slotting · Inbound/Outbound · Safety · Continuous Improvement</w:t>
            </w:r>
          </w:p>
          <w:p>
            <w:pPr>
              <w:spacing w:after="90" w:before="200"/>
            </w:pPr>
            <w:r>
              <w:rPr>
                <w:rFonts w:ascii="Consolas" w:cs="Consolas" w:eastAsia="Consolas" w:hAnsi="Consolas"/>
                <w:color w:val="F0A04B"/>
                <w:spacing w:val="12"/>
                <w:sz w:val="15"/>
                <w:szCs w:val="15"/>
              </w:rPr>
              <w:t xml:space="preserve">SYSTEMS</w:t>
            </w:r>
          </w:p>
          <w:p>
            <w:r>
              <w:rPr>
                <w:rFonts w:ascii="Consolas" w:cs="Consolas" w:eastAsia="Consolas" w:hAnsi="Consolas"/>
                <w:color w:val="E7DDD0"/>
                <w:sz w:val="16"/>
                <w:szCs w:val="16"/>
              </w:rPr>
              <w:t xml:space="preserve">Manhattan WMS · SAP EWM · RF · Labor Mgmt</w:t>
            </w:r>
          </w:p>
          <w:p>
            <w:pPr>
              <w:spacing w:after="90" w:before="200"/>
            </w:pPr>
            <w:r>
              <w:rPr>
                <w:rFonts w:ascii="Consolas" w:cs="Consolas" w:eastAsia="Consolas" w:hAnsi="Consolas"/>
                <w:color w:val="F0A04B"/>
                <w:spacing w:val="12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B.S., Logistics &amp; Ops</w:t>
            </w:r>
          </w:p>
          <w:p>
            <w:r>
              <w:rPr>
                <w:rFonts w:ascii="Calibri" w:cs="Calibri" w:eastAsia="Calibri" w:hAnsi="Calibri"/>
                <w:color w:val="A99C8A"/>
                <w:sz w:val="17"/>
                <w:szCs w:val="17"/>
              </w:rPr>
              <w:t xml:space="preserve">Northern Illinois University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80"/>
              <w:left w:type="dxa" w:w="540"/>
              <w:bottom w:type="dxa" w:w="520"/>
              <w:right w:type="dxa" w:w="520"/>
            </w:tcMar>
            <w:vAlign w:val="top"/>
          </w:tcPr>
          <w:p>
            <w:pPr>
              <w:spacing w:after="170"/>
            </w:pPr>
            <w:r>
              <w:rPr>
                <w:rFonts w:ascii="Calibri" w:cs="Calibri" w:eastAsia="Calibri" w:hAnsi="Calibri"/>
                <w:color w:val="3D342A"/>
                <w:sz w:val="20"/>
                <w:szCs w:val="20"/>
              </w:rPr>
              <w:t xml:space="preserve">Distribution center manager who moves volume fast, accurately, and safely. Eleven years running high-throughput fulfillment operations — building labor plans, slotting for speed, and hitting service every peak. I scale teams, hold the metrics, and ship the orders out the door.</w:t>
            </w:r>
          </w:p>
          <w:p>
            <w:pPr>
              <w:spacing w:after="120" w:before="0"/>
            </w:pPr>
            <w:r>
              <w:rPr>
                <w:rFonts w:ascii="Consolas" w:cs="Consolas" w:eastAsia="Consolas" w:hAnsi="Consolas"/>
                <w:b/>
                <w:bCs/>
                <w:color w:val="C2540F"/>
                <w:spacing w:val="20"/>
                <w:sz w:val="17"/>
                <w:szCs w:val="17"/>
              </w:rPr>
              <w:t xml:space="preserve">THROUGHPUT DASHBOARD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670"/>
              <w:gridCol w:w="140"/>
              <w:gridCol w:w="1670"/>
              <w:gridCol w:w="140"/>
              <w:gridCol w:w="1670"/>
              <w:gridCol w:w="140"/>
              <w:gridCol w:w="1670"/>
            </w:tblGrid>
            <w:tr>
              <w:tc>
                <w:tcPr>
                  <w:tcW w:type="dxa" w:w="1670"/>
                  <w:tcBorders>
                    <w:top w:val="single" w:color="ECDFD0" w:sz="4"/>
                    <w:left w:val="single" w:color="ECDFD0" w:sz="4"/>
                    <w:bottom w:val="single" w:color="ECDFD0" w:sz="4"/>
                    <w:right w:val="single" w:color="ECDFD0" w:sz="4"/>
                  </w:tcBorders>
                  <w:tcMar>
                    <w:top w:type="dxa" w:w="140"/>
                    <w:left w:type="dxa" w:w="100"/>
                    <w:bottom w:type="dxa" w:w="130"/>
                    <w:right w:type="dxa" w:w="100"/>
                  </w:tcMar>
                  <w:vAlign w:val="top"/>
                </w:tcPr>
                <w:p>
                  <w:pPr>
                    <w:spacing w:after="5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C2540F"/>
                      <w:sz w:val="30"/>
                      <w:szCs w:val="30"/>
                    </w:rPr>
                    <w:t xml:space="preserve">185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7D6C"/>
                      <w:spacing w:val="3"/>
                      <w:sz w:val="12"/>
                      <w:szCs w:val="12"/>
                    </w:rPr>
                    <w:t xml:space="preserve">UNITS / LABOR HR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670"/>
                  <w:tcBorders>
                    <w:top w:val="single" w:color="ECDFD0" w:sz="4"/>
                    <w:left w:val="single" w:color="ECDFD0" w:sz="4"/>
                    <w:bottom w:val="single" w:color="ECDFD0" w:sz="4"/>
                    <w:right w:val="single" w:color="ECDFD0" w:sz="4"/>
                  </w:tcBorders>
                  <w:tcMar>
                    <w:top w:type="dxa" w:w="140"/>
                    <w:left w:type="dxa" w:w="100"/>
                    <w:bottom w:type="dxa" w:w="130"/>
                    <w:right w:type="dxa" w:w="100"/>
                  </w:tcMar>
                  <w:vAlign w:val="top"/>
                </w:tcPr>
                <w:p>
                  <w:pPr>
                    <w:spacing w:after="5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C2540F"/>
                      <w:sz w:val="30"/>
                      <w:szCs w:val="30"/>
                    </w:rPr>
                    <w:t xml:space="preserve">99.9%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7D6C"/>
                      <w:spacing w:val="3"/>
                      <w:sz w:val="12"/>
                      <w:szCs w:val="12"/>
                    </w:rPr>
                    <w:t xml:space="preserve">ORDER ACCURACY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670"/>
                  <w:tcBorders>
                    <w:top w:val="single" w:color="ECDFD0" w:sz="4"/>
                    <w:left w:val="single" w:color="ECDFD0" w:sz="4"/>
                    <w:bottom w:val="single" w:color="ECDFD0" w:sz="4"/>
                    <w:right w:val="single" w:color="ECDFD0" w:sz="4"/>
                  </w:tcBorders>
                  <w:tcMar>
                    <w:top w:type="dxa" w:w="140"/>
                    <w:left w:type="dxa" w:w="100"/>
                    <w:bottom w:type="dxa" w:w="130"/>
                    <w:right w:type="dxa" w:w="100"/>
                  </w:tcMar>
                  <w:vAlign w:val="top"/>
                </w:tcPr>
                <w:p>
                  <w:pPr>
                    <w:spacing w:after="5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C2540F"/>
                      <w:sz w:val="30"/>
                      <w:szCs w:val="30"/>
                    </w:rPr>
                    <w:t xml:space="preserve">99.5%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7D6C"/>
                      <w:spacing w:val="3"/>
                      <w:sz w:val="12"/>
                      <w:szCs w:val="12"/>
                    </w:rPr>
                    <w:t xml:space="preserve">ON-TIME SHIP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670"/>
                  <w:tcBorders>
                    <w:top w:val="single" w:color="ECDFD0" w:sz="4"/>
                    <w:left w:val="single" w:color="ECDFD0" w:sz="4"/>
                    <w:bottom w:val="single" w:color="ECDFD0" w:sz="4"/>
                    <w:right w:val="single" w:color="ECDFD0" w:sz="4"/>
                  </w:tcBorders>
                  <w:tcMar>
                    <w:top w:type="dxa" w:w="140"/>
                    <w:left w:type="dxa" w:w="100"/>
                    <w:bottom w:type="dxa" w:w="130"/>
                    <w:right w:type="dxa" w:w="100"/>
                  </w:tcMar>
                  <w:vAlign w:val="top"/>
                </w:tcPr>
                <w:p>
                  <w:pPr>
                    <w:spacing w:after="5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C2540F"/>
                      <w:sz w:val="30"/>
                      <w:szCs w:val="30"/>
                    </w:rPr>
                    <w:t xml:space="preserve">−16%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7D6C"/>
                      <w:spacing w:val="3"/>
                      <w:sz w:val="12"/>
                      <w:szCs w:val="12"/>
                    </w:rPr>
                    <w:t xml:space="preserve">COST / UNIT</w:t>
                  </w:r>
                </w:p>
              </w:tc>
            </w:tr>
          </w:tbl>
          <w:p>
            <w:pPr>
              <w:spacing w:after="130" w:before="240"/>
            </w:pPr>
            <w:r>
              <w:rPr>
                <w:rFonts w:ascii="Consolas" w:cs="Consolas" w:eastAsia="Consolas" w:hAnsi="Consolas"/>
                <w:b/>
                <w:bCs/>
                <w:color w:val="C2540F"/>
                <w:spacing w:val="20"/>
                <w:sz w:val="17"/>
                <w:szCs w:val="17"/>
              </w:rPr>
              <w:t xml:space="preserve">EXPERIENCE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400"/>
              <w:gridCol w:w="17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150D"/>
                      <w:sz w:val="20"/>
                      <w:szCs w:val="20"/>
                    </w:rPr>
                    <w:t xml:space="preserve">Distribution Center Manager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A4988A"/>
                      <w:sz w:val="16"/>
                      <w:szCs w:val="16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C2540F"/>
                <w:sz w:val="18"/>
                <w:szCs w:val="18"/>
              </w:rPr>
              <w:t xml:space="preserve">Amazon — Joliet,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42A"/>
                <w:sz w:val="19"/>
                <w:szCs w:val="19"/>
              </w:rPr>
              <w:t xml:space="preserve">Run a 1.1M sq ft fulfillment center — 340 associates, 48K orders/day across three shifts.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42A"/>
                <w:sz w:val="19"/>
                <w:szCs w:val="19"/>
              </w:rPr>
              <w:t xml:space="preserve">Raised units-per-labor-hour 22% and cut cost-per-unit 16% via slotting and process redesign.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42A"/>
                <w:sz w:val="19"/>
                <w:szCs w:val="19"/>
              </w:rPr>
              <w:t xml:space="preserve">Held 99.9% order accuracy and 99.5% on-time ship through two record peaks.</w:t>
            </w:r>
          </w:p>
          <w:p>
            <w:pPr>
              <w:spacing w:after="11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400"/>
              <w:gridCol w:w="17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150D"/>
                      <w:sz w:val="20"/>
                      <w:szCs w:val="20"/>
                    </w:rPr>
                    <w:t xml:space="preserve">Operations Supervisor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A4988A"/>
                      <w:sz w:val="16"/>
                      <w:szCs w:val="16"/>
                    </w:rPr>
                    <w:t xml:space="preserve">2016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C2540F"/>
                <w:sz w:val="18"/>
                <w:szCs w:val="18"/>
              </w:rPr>
              <w:t xml:space="preserve">UPS — Hodgkins,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42A"/>
                <w:sz w:val="19"/>
                <w:szCs w:val="19"/>
              </w:rPr>
              <w:t xml:space="preserve">Supervised a 70-person sort operation, improving throughput and reducing misloads.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42A"/>
                <w:sz w:val="19"/>
                <w:szCs w:val="19"/>
              </w:rPr>
              <w:t xml:space="preserve">Led safety initiatives that lowered recordable incidents 30%.</w:t>
            </w:r>
          </w:p>
          <w:p>
            <w:pPr>
              <w:spacing w:after="11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400"/>
              <w:gridCol w:w="17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150D"/>
                      <w:sz w:val="20"/>
                      <w:szCs w:val="20"/>
                    </w:rPr>
                    <w:t xml:space="preserve">Warehouse Supervisor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A4988A"/>
                      <w:sz w:val="16"/>
                      <w:szCs w:val="16"/>
                    </w:rPr>
                    <w:t xml:space="preserve">2013 – 2016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C2540F"/>
                <w:sz w:val="18"/>
                <w:szCs w:val="18"/>
              </w:rPr>
              <w:t xml:space="preserve">Walmart Distribution — Joliet,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42A"/>
                <w:sz w:val="19"/>
                <w:szCs w:val="19"/>
              </w:rPr>
              <w:t xml:space="preserve">Led inbound receiving and put-away teams in a high-volume DC.</w:t>
            </w:r>
          </w:p>
          <w:p>
            <w:pPr>
              <w:spacing w:after="4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D342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1ywlxpo9eb2ovnq5wybih" Type="http://schemas.openxmlformats.org/officeDocument/2006/relationships/hyperlink" Target="mailto:d.carte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2026-06-19T20:18:49.537Z</dcterms:created>
  <dcterms:modified xsi:type="dcterms:W3CDTF">2026-06-19T20:18:49.537Z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