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2230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2"/>
                <w:szCs w:val="42"/>
              </w:rPr>
              <w:t xml:space="preserve">Maria Elena Cruz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D6A9B2"/>
                <w:spacing w:val="9"/>
                <w:sz w:val="15"/>
                <w:szCs w:val="15"/>
              </w:rPr>
              <w:t xml:space="preserve">CERTIFIED PARALEGAL</w:t>
            </w:r>
          </w:p>
          <w:p>
            <w:r>
              <w:rPr>
                <w:rFonts w:ascii="Calibri" w:cs="Calibri" w:eastAsia="Calibri" w:hAnsi="Calibri"/>
                <w:color w:val="D8BcC2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D8BcC2"/>
                <w:sz w:val="17"/>
                <w:szCs w:val="17"/>
              </w:rPr>
              <w:br/>
              <w:t xml:space="preserve">(713)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velstywgvnsqloxrb9qh">
              <w:r>
                <w:rPr>
                  <w:rFonts w:ascii="Calibri" w:cs="Calibri" w:eastAsia="Calibri" w:hAnsi="Calibri"/>
                  <w:color w:val="ECDADE"/>
                  <w:sz w:val="17"/>
                  <w:szCs w:val="17"/>
                  <w:u w:val="single"/>
                </w:rPr>
                <w:t xml:space="preserve">maria.cruz@email.com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D6A9B2"/>
                <w:spacing w:val="13"/>
                <w:sz w:val="15"/>
                <w:szCs w:val="15"/>
              </w:rPr>
              <w:t xml:space="preserve">CREDENTIALS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2E3C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NALA CP</w:t>
                  </w:r>
                </w:p>
                <w:p>
                  <w:r>
                    <w:rPr>
                      <w:rFonts w:ascii="Calibri" w:cs="Calibri" w:eastAsia="Calibri" w:hAnsi="Calibri"/>
                      <w:color w:val="D8BcC2"/>
                      <w:sz w:val="15"/>
                      <w:szCs w:val="15"/>
                    </w:rPr>
                    <w:t xml:space="preserve">Certified Paralegal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2E3C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ABA Certificate</w:t>
                  </w:r>
                </w:p>
                <w:p>
                  <w:r>
                    <w:rPr>
                      <w:rFonts w:ascii="Calibri" w:cs="Calibri" w:eastAsia="Calibri" w:hAnsi="Calibri"/>
                      <w:color w:val="D8BcC2"/>
                      <w:sz w:val="15"/>
                      <w:szCs w:val="15"/>
                    </w:rPr>
                    <w:t xml:space="preserve">ABA-approved program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2E3C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Notary Public</w:t>
                  </w:r>
                </w:p>
                <w:p>
                  <w:r>
                    <w:rPr>
                      <w:rFonts w:ascii="Calibri" w:cs="Calibri" w:eastAsia="Calibri" w:hAnsi="Calibri"/>
                      <w:color w:val="D8BcC2"/>
                      <w:sz w:val="15"/>
                      <w:szCs w:val="15"/>
                    </w:rPr>
                    <w:t xml:space="preserve">State of Texas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D6A9B2"/>
                <w:spacing w:val="13"/>
                <w:sz w:val="15"/>
                <w:szCs w:val="15"/>
              </w:rPr>
              <w:t xml:space="preserve">SOFTWARE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D6A9B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ECDADE"/>
                <w:sz w:val="17"/>
                <w:szCs w:val="17"/>
              </w:rPr>
              <w:t xml:space="preserve">Westlaw · LexisNexis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D6A9B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ECDADE"/>
                <w:sz w:val="17"/>
                <w:szCs w:val="17"/>
              </w:rPr>
              <w:t xml:space="preserve">Clio · MyCase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D6A9B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ECDADE"/>
                <w:sz w:val="17"/>
                <w:szCs w:val="17"/>
              </w:rPr>
              <w:t xml:space="preserve">Microsoft Office · Adobe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D6A9B2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ECDADE"/>
                <w:sz w:val="17"/>
                <w:szCs w:val="17"/>
              </w:rPr>
              <w:t xml:space="preserve">English · Spanish (fluent)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Certified paralegal (NALA CP) who supports attorneys across litigation, corporate, and real-estate matters. Nine years of legal research, drafting and document management, and case coordination — bilingual, organized, and trusted with confidential client work from intake through closing.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E6D3D8" w:sz="4"/>
                    <w:left w:val="single" w:color="7A2E3A" w:sz="18"/>
                    <w:bottom w:val="single" w:color="E6D3D8" w:sz="4"/>
                    <w:right w:val="single" w:color="E6D3D8" w:sz="4"/>
                  </w:tcBorders>
                  <w:shd w:fill="F6ECEE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2E3A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7A7E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6D3D8" w:sz="4"/>
                    <w:left w:val="single" w:color="7A2E3A" w:sz="18"/>
                    <w:bottom w:val="single" w:color="E6D3D8" w:sz="4"/>
                    <w:right w:val="single" w:color="E6D3D8" w:sz="4"/>
                  </w:tcBorders>
                  <w:shd w:fill="F6ECEE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2E3A"/>
                      <w:sz w:val="27"/>
                      <w:szCs w:val="27"/>
                    </w:rPr>
                    <w:t xml:space="preserve">3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7A7E"/>
                      <w:spacing w:val="4"/>
                      <w:sz w:val="12"/>
                      <w:szCs w:val="12"/>
                    </w:rPr>
                    <w:t xml:space="preserve">PRACTICE AREAS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6D3D8" w:sz="4"/>
                    <w:left w:val="single" w:color="7A2E3A" w:sz="18"/>
                    <w:bottom w:val="single" w:color="E6D3D8" w:sz="4"/>
                    <w:right w:val="single" w:color="E6D3D8" w:sz="4"/>
                  </w:tcBorders>
                  <w:shd w:fill="F6ECEE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7A2E3A"/>
                      <w:sz w:val="27"/>
                      <w:szCs w:val="27"/>
                    </w:rPr>
                    <w:t xml:space="preserve">CP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7A7E"/>
                      <w:spacing w:val="4"/>
                      <w:sz w:val="12"/>
                      <w:szCs w:val="12"/>
                    </w:rPr>
                    <w:t xml:space="preserve">NALA CERTIFIED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7A2E3A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2129"/>
                      <w:sz w:val="20"/>
                      <w:szCs w:val="20"/>
                    </w:rPr>
                    <w:t xml:space="preserve">Certified 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18"/>
                <w:szCs w:val="18"/>
              </w:rPr>
              <w:t xml:space="preserve">Vinson &amp; Elkins LLP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 litigation and corporate teams — legal research, drafting pleadings, contracts, and closing binders.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case files, dockets, and deadlines in Clio; coordinate e-filing and discovery.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Serve as notary and bilingual liaison for Spanish-speaking clients.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2129"/>
                      <w:sz w:val="20"/>
                      <w:szCs w:val="20"/>
                    </w:rPr>
                    <w:t xml:space="preserve">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2015 — 2018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18"/>
                <w:szCs w:val="18"/>
              </w:rPr>
              <w:t xml:space="preserve">Baker Botts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Drafted discovery, conducted legal research on Westlaw, and maintained case databases.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Prepared real-estate closing documents and title review summaries.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2129"/>
                      <w:sz w:val="20"/>
                      <w:szCs w:val="20"/>
                    </w:rPr>
                    <w:t xml:space="preserve">Legal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2015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18"/>
                <w:szCs w:val="18"/>
              </w:rPr>
              <w:t xml:space="preserve">Harris County District Court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Processed filings and supported court staff; earned NALA CP certification.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velstywgvnsqloxrb9qh" Type="http://schemas.openxmlformats.org/officeDocument/2006/relationships/hyperlink" Target="mailto:maria.cru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2026-06-29T17:48:19.078Z</dcterms:created>
  <dcterms:modified xsi:type="dcterms:W3CDTF">2026-06-29T17:48:19.078Z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