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20"/>
        <w:gridCol w:w="3500"/>
      </w:tblGrid>
      <w:tr>
        <w:tc>
          <w:tcPr>
            <w:tcW w:type="dxa" w:w="7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45468"/>
                <w:spacing w:val="12"/>
                <w:sz w:val="16"/>
                <w:szCs w:val="16"/>
              </w:rPr>
              <w:t xml:space="preserve">CORPORATE PARALEGAL</w:t>
            </w:r>
          </w:p>
          <w:p>
            <w:r>
              <w:rPr>
                <w:rFonts w:ascii="Georgia" w:cs="Georgia" w:eastAsia="Georgia" w:hAnsi="Georgia"/>
                <w:color w:val="222831"/>
                <w:sz w:val="47"/>
                <w:szCs w:val="47"/>
              </w:rPr>
              <w:t xml:space="preserve">Brandon Whitfield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55" w:lineRule="atLeast"/>
              <w:jc w:val="right"/>
            </w:pPr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New York, NY 10005</w:t>
            </w:r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br/>
              <w:t xml:space="preserve">(212) 555-0178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tmtut1jnyfh4px_fmw8j">
              <w:r>
                <w:rPr>
                  <w:rFonts w:ascii="Calibri" w:cs="Calibri" w:eastAsia="Calibri" w:hAnsi="Calibri"/>
                  <w:color w:val="445468"/>
                  <w:sz w:val="16"/>
                  <w:szCs w:val="16"/>
                  <w:u w:val="single"/>
                </w:rPr>
                <w:t xml:space="preserve">b.whitfield@email.com</w:t>
              </w:r>
            </w:hyperlink>
          </w:p>
        </w:tc>
      </w:tr>
    </w:tbl>
    <w:p>
      <w:pPr>
        <w:spacing w:after="150"/>
      </w:pPr>
    </w:p>
    <w:p>
      <w:pPr>
        <w:spacing w:after="170"/>
      </w:pPr>
      <w:r>
        <w:rPr>
          <w:rFonts w:ascii="Calibri" w:cs="Calibri" w:eastAsia="Calibri" w:hAnsi="Calibri"/>
          <w:color w:val="39414C"/>
          <w:sz w:val="20"/>
          <w:szCs w:val="20"/>
        </w:rPr>
        <w:t xml:space="preserve">Corporate paralegal who keeps transactions clean and entities compliant. Nine years supporting in-house and law-firm corporate teams — contract drafting and management, entity formation and governance, M&amp;A due diligence, securities filings, and regulatory compliance. Detail-obsessed, deadline-driven, and trusted with confidential, high-stakes work.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445468"/>
          <w:spacing w:val="12"/>
          <w:sz w:val="17"/>
          <w:szCs w:val="17"/>
        </w:rPr>
        <w:t xml:space="preserve">PRACTICE AREAS</w:t>
      </w:r>
    </w:p>
    <w:tbl>
      <w:tblPr>
        <w:tblW w:type="dxa" w:w="10720"/>
        <w:tblBorders>
          <w:top w:val="single" w:color="D5DCE4" w:sz="4"/>
          <w:left w:val="single" w:color="D5DCE4" w:sz="4"/>
          <w:bottom w:val="single" w:color="D5DCE4" w:sz="4"/>
          <w:right w:val="single" w:color="D5DCE4" w:sz="4"/>
          <w:insideH w:val="single" w:color="D5DCE4" w:sz="4"/>
          <w:insideV w:val="single" w:color="D5DCE4" w:sz="4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/>
              <w:left w:val="none"/>
              <w:bottom w:val="none"/>
              <w:right w:val="single" w:color="D5DCE4" w:sz="4"/>
            </w:tcBorders>
            <w:tcMar>
              <w:top w:type="dxa" w:w="130"/>
              <w:left w:type="dxa" w:w="20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22831"/>
                <w:sz w:val="17"/>
                <w:szCs w:val="17"/>
              </w:rPr>
              <w:t xml:space="preserve">Contracts &amp; Commercial</w:t>
            </w:r>
          </w:p>
          <w:p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Drafting · review · NDAs · contract lifecycle (CLM)</w:t>
            </w:r>
          </w:p>
        </w:tc>
        <w:tc>
          <w:tcPr>
            <w:tcW w:type="dxa" w:w="5360"/>
            <w:tcBorders>
              <w:top w:val="none"/>
              <w:left w:val="none"/>
              <w:bottom w:val="none"/>
              <w:right w:val="none"/>
            </w:tcBorders>
            <w:tcMar>
              <w:top w:type="dxa" w:w="130"/>
              <w:left w:type="dxa" w:w="20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22831"/>
                <w:sz w:val="17"/>
                <w:szCs w:val="17"/>
              </w:rPr>
              <w:t xml:space="preserve">Entity &amp; Governance</w:t>
            </w:r>
          </w:p>
          <w:p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Formation · minute books · resolutions · annual filings</w:t>
            </w:r>
          </w:p>
        </w:tc>
      </w:tr>
      <w:tr>
        <w:tc>
          <w:tcPr>
            <w:tcW w:type="dxa" w:w="5360"/>
            <w:tcBorders>
              <w:top w:val="single" w:color="D5DCE4" w:sz="4"/>
              <w:left w:val="none"/>
              <w:bottom w:val="none"/>
              <w:right w:val="single" w:color="D5DCE4" w:sz="4"/>
            </w:tcBorders>
            <w:tcMar>
              <w:top w:type="dxa" w:w="130"/>
              <w:left w:type="dxa" w:w="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22831"/>
                <w:sz w:val="17"/>
                <w:szCs w:val="17"/>
              </w:rPr>
              <w:t xml:space="preserve">M&amp;A &amp; Due Diligence</w:t>
            </w:r>
          </w:p>
          <w:p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Data rooms · diligence checklists · closing binders</w:t>
            </w:r>
          </w:p>
        </w:tc>
        <w:tc>
          <w:tcPr>
            <w:tcW w:type="dxa" w:w="5360"/>
            <w:tcBorders>
              <w:top w:val="single" w:color="D5DCE4" w:sz="4"/>
              <w:left w:val="none"/>
              <w:bottom w:val="none"/>
              <w:right w:val="none"/>
            </w:tcBorders>
            <w:tcMar>
              <w:top w:type="dxa" w:w="130"/>
              <w:left w:type="dxa" w:w="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22831"/>
                <w:sz w:val="17"/>
                <w:szCs w:val="17"/>
              </w:rPr>
              <w:t xml:space="preserve">Compliance &amp; Securities</w:t>
            </w:r>
          </w:p>
          <w:p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SEC/EDGAR filings · regulatory · policy management</w:t>
            </w:r>
          </w:p>
        </w:tc>
      </w:tr>
    </w:tbl>
    <w:p>
      <w:pPr>
        <w:spacing w:after="140" w:before="240"/>
      </w:pPr>
      <w:r>
        <w:rPr>
          <w:rFonts w:ascii="Georgia" w:cs="Georgia" w:eastAsia="Georgia" w:hAnsi="Georgia"/>
          <w:color w:val="445468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831"/>
                <w:sz w:val="20"/>
                <w:szCs w:val="20"/>
              </w:rPr>
              <w:t xml:space="preserve">Corporate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468"/>
          <w:sz w:val="18"/>
          <w:szCs w:val="18"/>
        </w:rPr>
        <w:t xml:space="preserve">Morgan Stanley (Legal Dept.)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Draft and manage commercial contracts and NDAs in the CLM system; track obligations and renewals.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Maintain entity governance — formations, minute books, resolutions, and annual filings.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Support M&amp;A due diligence and prepare closing binders for transactions up to $300M.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831"/>
                <w:sz w:val="20"/>
                <w:szCs w:val="20"/>
              </w:rPr>
              <w:t xml:space="preserve">Corporate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468"/>
          <w:sz w:val="18"/>
          <w:szCs w:val="18"/>
        </w:rPr>
        <w:t xml:space="preserve">Latham &amp; Watkins LLP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Prepared SEC filings via EDGAR and supported securities and capital-markets transactions.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Organized virtual data rooms and managed diligence for corporate deals.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831"/>
                <w:sz w:val="20"/>
                <w:szCs w:val="20"/>
              </w:rPr>
              <w:t xml:space="preserve">Legal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468"/>
          <w:sz w:val="18"/>
          <w:szCs w:val="18"/>
        </w:rPr>
        <w:t xml:space="preserve">Skadden, Arps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Supported the corporate group with document management and filings.</w:t>
      </w:r>
    </w:p>
    <w:p>
      <w:pPr>
        <w:spacing w:after="80"/>
      </w:pPr>
    </w:p>
    <w:tbl>
      <w:tblPr>
        <w:tblW w:type="dxa" w:w="10720"/>
        <w:tblBorders>
          <w:top w:val="single" w:color="D5DCE4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45468"/>
                <w:spacing w:val="12"/>
                <w:sz w:val="16"/>
                <w:szCs w:val="16"/>
              </w:rPr>
              <w:t xml:space="preserve">SKILLS &amp; SOFTWARE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Contract Management · Due Diligence · Entity Management · SEC/EDGAR · Compliance · iManage · DocuSign · Westlaw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45468"/>
                <w:spacing w:val="12"/>
                <w:sz w:val="16"/>
                <w:szCs w:val="16"/>
              </w:rPr>
              <w:t xml:space="preserve">CERTIFICATION &amp; EDUCATION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Certified Paralegal (NALA CP) · B.S. Business, NYU · ABA-approved program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tmtut1jnyfh4px_fmw8j" Type="http://schemas.openxmlformats.org/officeDocument/2006/relationships/hyperlink" Target="mailto:b.whitfi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2026-06-29T17:48:19.064Z</dcterms:created>
  <dcterms:modified xsi:type="dcterms:W3CDTF">2026-06-29T17:48:19.064Z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